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1C0" w:rsidRPr="00186FAA" w:rsidRDefault="004F50E1" w:rsidP="004F50E1">
      <w:pPr>
        <w:spacing w:after="0" w:line="240" w:lineRule="auto"/>
        <w:jc w:val="right"/>
        <w:rPr>
          <w:b/>
          <w:sz w:val="32"/>
        </w:rPr>
      </w:pPr>
      <w:r w:rsidRPr="00186FAA">
        <w:rPr>
          <w:b/>
          <w:noProof/>
          <w:sz w:val="32"/>
        </w:rPr>
        <w:drawing>
          <wp:anchor distT="0" distB="0" distL="114300" distR="114300" simplePos="0" relativeHeight="251660288" behindDoc="0" locked="0" layoutInCell="1" allowOverlap="1" wp14:anchorId="6E728571" wp14:editId="3A76250E">
            <wp:simplePos x="0" y="0"/>
            <wp:positionH relativeFrom="margin">
              <wp:posOffset>601980</wp:posOffset>
            </wp:positionH>
            <wp:positionV relativeFrom="paragraph">
              <wp:posOffset>-144780</wp:posOffset>
            </wp:positionV>
            <wp:extent cx="1584960" cy="486945"/>
            <wp:effectExtent l="0" t="0" r="0" b="8890"/>
            <wp:wrapNone/>
            <wp:docPr id="3" name="Picture 3" descr="C:\Users\Auliantech\Documents\DUNIA JURNAL\AULIANTECH\BIOLOCK\BAHAN\logofi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liantech\Documents\DUNIA JURNAL\AULIANTECH\BIOLOCK\BAHAN\logofix.pn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3735" b="35542"/>
                    <a:stretch/>
                  </pic:blipFill>
                  <pic:spPr bwMode="auto">
                    <a:xfrm>
                      <a:off x="0" y="0"/>
                      <a:ext cx="1584960" cy="486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86FAA">
        <w:rPr>
          <w:b/>
          <w:noProof/>
          <w:sz w:val="32"/>
        </w:rPr>
        <mc:AlternateContent>
          <mc:Choice Requires="wps">
            <w:drawing>
              <wp:anchor distT="0" distB="0" distL="114300" distR="114300" simplePos="0" relativeHeight="251659264" behindDoc="1" locked="0" layoutInCell="1" allowOverlap="1" wp14:anchorId="61785E3B" wp14:editId="61C3D699">
                <wp:simplePos x="0" y="0"/>
                <wp:positionH relativeFrom="margin">
                  <wp:align>left</wp:align>
                </wp:positionH>
                <wp:positionV relativeFrom="paragraph">
                  <wp:posOffset>7620</wp:posOffset>
                </wp:positionV>
                <wp:extent cx="5730240" cy="228600"/>
                <wp:effectExtent l="0" t="0" r="3810" b="0"/>
                <wp:wrapNone/>
                <wp:docPr id="1" name="Rectangle 1"/>
                <wp:cNvGraphicFramePr/>
                <a:graphic xmlns:a="http://schemas.openxmlformats.org/drawingml/2006/main">
                  <a:graphicData uri="http://schemas.microsoft.com/office/word/2010/wordprocessingShape">
                    <wps:wsp>
                      <wps:cNvSpPr/>
                      <wps:spPr>
                        <a:xfrm>
                          <a:off x="0" y="0"/>
                          <a:ext cx="5730240" cy="2286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D482E5" id="Rectangle 1" o:spid="_x0000_s1026" style="position:absolute;margin-left:0;margin-top:.6pt;width:451.2pt;height:18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" fillcolor="#f2f2f2 [3052]" stroked="f" strokeweight="1pt">
                <w10:wrap anchorx="margin"/>
              </v:rect>
            </w:pict>
          </mc:Fallback>
        </mc:AlternateContent>
      </w:r>
      <w:r w:rsidRPr="00186FAA">
        <w:rPr>
          <w:b/>
          <w:sz w:val="32"/>
        </w:rPr>
        <w:t>Journal of Biological Sciences Education</w:t>
      </w:r>
    </w:p>
    <w:p w:rsidR="00A53AD6" w:rsidRDefault="00A53AD6" w:rsidP="00A53AD6">
      <w:pPr>
        <w:pStyle w:val="biolockpublisher"/>
      </w:pPr>
      <w:r>
        <w:t>Published by CV. Auliantech</w:t>
      </w:r>
    </w:p>
    <w:p w:rsidR="00A53AD6" w:rsidRDefault="00A53AD6" w:rsidP="00A53AD6">
      <w:pPr>
        <w:pStyle w:val="biolockurljurnal"/>
      </w:pPr>
      <w:hyperlink r:id="rId7" w:history="1">
        <w:r w:rsidRPr="00AD26A5">
          <w:rPr>
            <w:rStyle w:val="Hyperlink"/>
          </w:rPr>
          <w:t>https://ejournal.auliantech.org/index.php/biolock</w:t>
        </w:r>
      </w:hyperlink>
    </w:p>
    <w:p w:rsidR="00A53AD6" w:rsidRDefault="00A53AD6" w:rsidP="00A53AD6">
      <w:pPr>
        <w:pStyle w:val="biolockvolume"/>
      </w:pPr>
      <w:r>
        <w:t>Vol. 1, No. 1, 2026 | Pages 3</w:t>
      </w:r>
      <w:r>
        <w:t>0</w:t>
      </w:r>
      <w:r>
        <w:t>-</w:t>
      </w:r>
      <w:r>
        <w:t>37</w:t>
      </w:r>
    </w:p>
    <w:p w:rsidR="00A53AD6" w:rsidRDefault="00A53AD6" w:rsidP="00A53AD6">
      <w:pPr>
        <w:pStyle w:val="biolockissn"/>
      </w:pPr>
      <w:r>
        <w:t>ISSN-Online: XXXX-XXXX</w:t>
      </w:r>
    </w:p>
    <w:p w:rsidR="00A53AD6" w:rsidRDefault="00A53AD6" w:rsidP="00A53AD6">
      <w:pPr>
        <w:pStyle w:val="biolocklicense"/>
        <w:rPr>
          <w:rFonts w:cs="Arial"/>
          <w:szCs w:val="16"/>
          <w:shd w:val="clear" w:color="auto" w:fill="FFFFFF"/>
        </w:rPr>
      </w:pPr>
      <w:r w:rsidRPr="00AD26A5">
        <w:rPr>
          <w:szCs w:val="16"/>
        </w:rPr>
        <w:t>This</w:t>
      </w:r>
      <w:r>
        <w:rPr>
          <w:szCs w:val="16"/>
        </w:rPr>
        <w:t xml:space="preserve"> </w:t>
      </w:r>
      <w:r w:rsidRPr="00AD26A5">
        <w:rPr>
          <w:szCs w:val="16"/>
        </w:rPr>
        <w:t>article</w:t>
      </w:r>
      <w:r>
        <w:rPr>
          <w:szCs w:val="16"/>
        </w:rPr>
        <w:t xml:space="preserve"> </w:t>
      </w:r>
      <w:r w:rsidRPr="00AD26A5">
        <w:rPr>
          <w:szCs w:val="16"/>
        </w:rPr>
        <w:t>licensed</w:t>
      </w:r>
      <w:r>
        <w:rPr>
          <w:szCs w:val="16"/>
        </w:rPr>
        <w:t xml:space="preserve"> </w:t>
      </w:r>
      <w:r w:rsidRPr="00AD26A5">
        <w:rPr>
          <w:szCs w:val="16"/>
        </w:rPr>
        <w:t>under</w:t>
      </w:r>
      <w:r>
        <w:rPr>
          <w:szCs w:val="16"/>
        </w:rPr>
        <w:t xml:space="preserve"> </w:t>
      </w:r>
      <w:hyperlink r:id="rId8" w:history="1">
        <w:r w:rsidRPr="00AD26A5">
          <w:rPr>
            <w:rStyle w:val="Hyperlink"/>
            <w:szCs w:val="16"/>
          </w:rPr>
          <w:t>Creative</w:t>
        </w:r>
        <w:r>
          <w:rPr>
            <w:rStyle w:val="Hyperlink"/>
            <w:szCs w:val="16"/>
          </w:rPr>
          <w:t xml:space="preserve"> </w:t>
        </w:r>
        <w:r w:rsidRPr="00AD26A5">
          <w:rPr>
            <w:rStyle w:val="Hyperlink"/>
            <w:szCs w:val="16"/>
          </w:rPr>
          <w:t>Common</w:t>
        </w:r>
        <w:r>
          <w:rPr>
            <w:rStyle w:val="Hyperlink"/>
            <w:szCs w:val="16"/>
          </w:rPr>
          <w:t xml:space="preserve"> </w:t>
        </w:r>
        <w:r w:rsidRPr="00AD26A5">
          <w:rPr>
            <w:rStyle w:val="Hyperlink"/>
            <w:szCs w:val="16"/>
          </w:rPr>
          <w:t>Attribution-</w:t>
        </w:r>
        <w:proofErr w:type="spellStart"/>
        <w:r w:rsidRPr="00AD26A5">
          <w:rPr>
            <w:rStyle w:val="Hyperlink"/>
            <w:szCs w:val="16"/>
          </w:rPr>
          <w:t>ShareAlike</w:t>
        </w:r>
        <w:proofErr w:type="spellEnd"/>
        <w:r>
          <w:rPr>
            <w:rStyle w:val="Hyperlink"/>
            <w:szCs w:val="16"/>
          </w:rPr>
          <w:t xml:space="preserve"> </w:t>
        </w:r>
        <w:r w:rsidRPr="00AD26A5">
          <w:rPr>
            <w:rStyle w:val="Hyperlink"/>
            <w:szCs w:val="16"/>
          </w:rPr>
          <w:t>4.0</w:t>
        </w:r>
        <w:r>
          <w:rPr>
            <w:rStyle w:val="Hyperlink"/>
            <w:szCs w:val="16"/>
          </w:rPr>
          <w:t xml:space="preserve"> </w:t>
        </w:r>
        <w:r w:rsidRPr="00AD26A5">
          <w:rPr>
            <w:rStyle w:val="Hyperlink"/>
            <w:szCs w:val="16"/>
          </w:rPr>
          <w:t>International</w:t>
        </w:r>
      </w:hyperlink>
      <w:r>
        <w:rPr>
          <w:szCs w:val="16"/>
        </w:rPr>
        <w:t xml:space="preserve"> </w:t>
      </w:r>
      <w:r w:rsidRPr="00AD26A5">
        <w:rPr>
          <w:rFonts w:cs="Arial"/>
          <w:szCs w:val="16"/>
          <w:shd w:val="clear" w:color="auto" w:fill="FFFFFF"/>
        </w:rPr>
        <w:t>©</w:t>
      </w:r>
      <w:r>
        <w:rPr>
          <w:rFonts w:cs="Arial"/>
          <w:szCs w:val="16"/>
          <w:shd w:val="clear" w:color="auto" w:fill="FFFFFF"/>
        </w:rPr>
        <w:t xml:space="preserve"> </w:t>
      </w:r>
      <w:r w:rsidRPr="00AD26A5">
        <w:rPr>
          <w:rFonts w:cs="Arial"/>
          <w:szCs w:val="16"/>
          <w:shd w:val="clear" w:color="auto" w:fill="FFFFFF"/>
        </w:rPr>
        <w:t>2026</w:t>
      </w:r>
      <w:r>
        <w:rPr>
          <w:rFonts w:cs="Arial"/>
          <w:szCs w:val="16"/>
          <w:shd w:val="clear" w:color="auto" w:fill="FFFFFF"/>
        </w:rPr>
        <w:t xml:space="preserve"> </w:t>
      </w:r>
      <w:r w:rsidRPr="00AD26A5">
        <w:rPr>
          <w:rFonts w:cs="Arial"/>
          <w:szCs w:val="16"/>
          <w:shd w:val="clear" w:color="auto" w:fill="FFFFFF"/>
        </w:rPr>
        <w:t>by</w:t>
      </w:r>
      <w:r>
        <w:rPr>
          <w:rFonts w:cs="Arial"/>
          <w:szCs w:val="16"/>
          <w:shd w:val="clear" w:color="auto" w:fill="FFFFFF"/>
        </w:rPr>
        <w:t xml:space="preserve"> </w:t>
      </w:r>
      <w:r w:rsidRPr="00AD26A5">
        <w:rPr>
          <w:rFonts w:cs="Arial"/>
          <w:szCs w:val="16"/>
          <w:shd w:val="clear" w:color="auto" w:fill="FFFFFF"/>
        </w:rPr>
        <w:t>Author/s.</w:t>
      </w:r>
    </w:p>
    <w:p w:rsidR="00A53AD6" w:rsidRPr="00AD26A5" w:rsidRDefault="00A53AD6" w:rsidP="00A53AD6">
      <w:pPr>
        <w:pStyle w:val="biolock-doi"/>
      </w:pPr>
      <w:r>
        <w:t xml:space="preserve">DOI: </w:t>
      </w:r>
      <w:hyperlink r:id="rId9" w:history="1">
        <w:r>
          <w:rPr>
            <w:rStyle w:val="Hyperlink"/>
          </w:rPr>
          <w:t>https://doi.org/10.68191/biolock.v1i1.25</w:t>
        </w:r>
      </w:hyperlink>
      <w:r>
        <w:t xml:space="preserve"> </w:t>
      </w:r>
    </w:p>
    <w:p w:rsidR="004F50E1" w:rsidRDefault="004F50E1" w:rsidP="004F50E1">
      <w:pPr>
        <w:pStyle w:val="biolocklicense"/>
      </w:pPr>
    </w:p>
    <w:p w:rsidR="004F50E1" w:rsidRDefault="004F50E1" w:rsidP="004F50E1">
      <w:pPr>
        <w:pStyle w:val="biolockspasi"/>
      </w:pPr>
    </w:p>
    <w:p w:rsidR="004F50E1" w:rsidRDefault="00F3499A" w:rsidP="004F50E1">
      <w:pPr>
        <w:pStyle w:val="biolockjudul"/>
      </w:pPr>
      <w:r w:rsidRPr="00F3499A">
        <w:t xml:space="preserve">The Effect of Using Interactive Multimedia-Based Biology Learning Media to Improve Critical Thinking Ability and Student Motivation at SMA </w:t>
      </w:r>
      <w:proofErr w:type="spellStart"/>
      <w:r w:rsidRPr="00F3499A">
        <w:t>Negeri</w:t>
      </w:r>
      <w:proofErr w:type="spellEnd"/>
      <w:r w:rsidRPr="00F3499A">
        <w:t xml:space="preserve"> 10 North Bengkulu</w:t>
      </w:r>
    </w:p>
    <w:p w:rsidR="00EF1E39" w:rsidRDefault="00EF1E39" w:rsidP="00EF1E39">
      <w:pPr>
        <w:pStyle w:val="biolockspasi"/>
      </w:pPr>
    </w:p>
    <w:p w:rsidR="00EF1E39" w:rsidRPr="001C0EB7" w:rsidRDefault="00F3499A" w:rsidP="001C0EB7">
      <w:pPr>
        <w:pStyle w:val="biolockpenulis"/>
      </w:pPr>
      <w:proofErr w:type="spellStart"/>
      <w:r w:rsidRPr="00F3499A">
        <w:t>Nadiah</w:t>
      </w:r>
      <w:proofErr w:type="spellEnd"/>
      <w:r w:rsidRPr="00F3499A">
        <w:t xml:space="preserve"> Giade</w:t>
      </w:r>
      <w:r w:rsidRPr="00F3499A">
        <w:rPr>
          <w:vertAlign w:val="superscript"/>
        </w:rPr>
        <w:t>1</w:t>
      </w:r>
      <w:r w:rsidRPr="00F3499A">
        <w:t xml:space="preserve">, </w:t>
      </w:r>
      <w:proofErr w:type="spellStart"/>
      <w:r w:rsidRPr="00F3499A">
        <w:t>Rukiah</w:t>
      </w:r>
      <w:proofErr w:type="spellEnd"/>
      <w:r w:rsidRPr="00F3499A">
        <w:t xml:space="preserve"> Lubis</w:t>
      </w:r>
      <w:r w:rsidRPr="00F3499A">
        <w:rPr>
          <w:vertAlign w:val="superscript"/>
        </w:rPr>
        <w:t>2</w:t>
      </w:r>
      <w:r w:rsidRPr="00F3499A">
        <w:t>, Pariyanto</w:t>
      </w:r>
      <w:r w:rsidRPr="00F3499A">
        <w:rPr>
          <w:vertAlign w:val="superscript"/>
        </w:rPr>
        <w:t>3</w:t>
      </w:r>
    </w:p>
    <w:p w:rsidR="00833C4A" w:rsidRPr="00833C4A" w:rsidRDefault="00833C4A" w:rsidP="00833C4A">
      <w:pPr>
        <w:pStyle w:val="biolockspasi"/>
      </w:pPr>
    </w:p>
    <w:p w:rsidR="00EF1E39" w:rsidRDefault="001C6A29" w:rsidP="00EF1E39">
      <w:pPr>
        <w:pStyle w:val="biolockafiliasi"/>
      </w:pPr>
      <w:r w:rsidRPr="001C6A29">
        <w:rPr>
          <w:vertAlign w:val="superscript"/>
        </w:rPr>
        <w:t>123</w:t>
      </w:r>
      <w:r w:rsidR="001C0EB7">
        <w:rPr>
          <w:vertAlign w:val="superscript"/>
        </w:rPr>
        <w:t>4</w:t>
      </w:r>
      <w:r w:rsidRPr="001C6A29">
        <w:t xml:space="preserve"> </w:t>
      </w:r>
      <w:proofErr w:type="spellStart"/>
      <w:r w:rsidR="00EF1E39">
        <w:t>Universitas</w:t>
      </w:r>
      <w:proofErr w:type="spellEnd"/>
      <w:r w:rsidR="00EF1E39">
        <w:t xml:space="preserve"> </w:t>
      </w:r>
      <w:proofErr w:type="spellStart"/>
      <w:r w:rsidR="00F3499A">
        <w:t>Muhammadiyah</w:t>
      </w:r>
      <w:proofErr w:type="spellEnd"/>
      <w:r w:rsidR="00EF1E39">
        <w:t xml:space="preserve"> Bengkulu, Indonesia.</w:t>
      </w:r>
    </w:p>
    <w:p w:rsidR="00EF1E39" w:rsidRDefault="00EF1E39" w:rsidP="00EF1E39">
      <w:pPr>
        <w:pStyle w:val="biolockspasi"/>
      </w:pPr>
    </w:p>
    <w:p w:rsidR="00EF1E39" w:rsidRPr="001C0EB7" w:rsidRDefault="00833C4A" w:rsidP="001C0EB7">
      <w:pPr>
        <w:pStyle w:val="biolockemail"/>
      </w:pPr>
      <w:r w:rsidRPr="001C0EB7">
        <w:t>e-mail:</w:t>
      </w:r>
    </w:p>
    <w:p w:rsidR="00833C4A" w:rsidRPr="001C0EB7" w:rsidRDefault="00833C4A" w:rsidP="001C0EB7">
      <w:pPr>
        <w:pStyle w:val="biolockemail"/>
      </w:pPr>
      <w:r w:rsidRPr="00827248">
        <w:rPr>
          <w:vertAlign w:val="superscript"/>
        </w:rPr>
        <w:t>1</w:t>
      </w:r>
      <w:r w:rsidRPr="001C0EB7">
        <w:t xml:space="preserve"> </w:t>
      </w:r>
      <w:r w:rsidR="00F3499A" w:rsidRPr="00F3499A">
        <w:t>nadiahgiade@gmail.com</w:t>
      </w:r>
    </w:p>
    <w:p w:rsidR="00833C4A" w:rsidRDefault="00833C4A" w:rsidP="001C0EB7">
      <w:pPr>
        <w:pStyle w:val="biolockemail"/>
      </w:pPr>
      <w:r w:rsidRPr="00827248">
        <w:rPr>
          <w:vertAlign w:val="superscript"/>
        </w:rPr>
        <w:t>3</w:t>
      </w:r>
      <w:r w:rsidRPr="001C0EB7">
        <w:t xml:space="preserve"> </w:t>
      </w:r>
      <w:hyperlink r:id="rId10" w:history="1">
        <w:r w:rsidR="00F3499A" w:rsidRPr="00F3499A">
          <w:rPr>
            <w:rStyle w:val="Hyperlink"/>
            <w:color w:val="auto"/>
            <w:u w:val="none"/>
          </w:rPr>
          <w:t>rukiah.lubis13@gmail.com</w:t>
        </w:r>
      </w:hyperlink>
    </w:p>
    <w:p w:rsidR="00F3499A" w:rsidRPr="001C0EB7" w:rsidRDefault="00F3499A" w:rsidP="00F3499A">
      <w:pPr>
        <w:pStyle w:val="biolockemail"/>
      </w:pPr>
      <w:r w:rsidRPr="00827248">
        <w:rPr>
          <w:vertAlign w:val="superscript"/>
        </w:rPr>
        <w:t>2</w:t>
      </w:r>
      <w:r w:rsidRPr="001C0EB7">
        <w:t xml:space="preserve"> </w:t>
      </w:r>
      <w:r>
        <w:t>pariyanto99</w:t>
      </w:r>
      <w:r w:rsidRPr="001C0EB7">
        <w:t>@gmail.com</w:t>
      </w:r>
    </w:p>
    <w:p w:rsidR="00EF1E39" w:rsidRDefault="00EF1E39" w:rsidP="00AF087C">
      <w:pPr>
        <w:pStyle w:val="biolockspasi"/>
      </w:pPr>
    </w:p>
    <w:tbl>
      <w:tblPr>
        <w:tblStyle w:val="TableGrid"/>
        <w:tblW w:w="0" w:type="auto"/>
        <w:tblBorders>
          <w:left w:val="none" w:sz="0" w:space="0" w:color="auto"/>
          <w:right w:val="none" w:sz="0" w:space="0" w:color="auto"/>
          <w:insideV w:val="none" w:sz="0" w:space="0" w:color="auto"/>
        </w:tblBorders>
        <w:shd w:val="clear" w:color="auto" w:fill="F2F2F2" w:themeFill="background1" w:themeFillShade="F2"/>
        <w:tblCellMar>
          <w:top w:w="57" w:type="dxa"/>
          <w:left w:w="57" w:type="dxa"/>
          <w:bottom w:w="57" w:type="dxa"/>
          <w:right w:w="57" w:type="dxa"/>
        </w:tblCellMar>
        <w:tblLook w:val="04A0" w:firstRow="1" w:lastRow="0" w:firstColumn="1" w:lastColumn="0" w:noHBand="0" w:noVBand="1"/>
      </w:tblPr>
      <w:tblGrid>
        <w:gridCol w:w="2263"/>
        <w:gridCol w:w="6754"/>
      </w:tblGrid>
      <w:tr w:rsidR="00EF1E39" w:rsidRPr="00A53AD6" w:rsidTr="001C0EB7">
        <w:tc>
          <w:tcPr>
            <w:tcW w:w="2263" w:type="dxa"/>
            <w:shd w:val="clear" w:color="auto" w:fill="F2F2F2" w:themeFill="background1" w:themeFillShade="F2"/>
          </w:tcPr>
          <w:p w:rsidR="00EF1E39" w:rsidRPr="00A53AD6" w:rsidRDefault="00EF1E39" w:rsidP="001C0EB7">
            <w:pPr>
              <w:rPr>
                <w:rFonts w:ascii="Candara" w:hAnsi="Candara"/>
                <w:sz w:val="18"/>
                <w:szCs w:val="18"/>
              </w:rPr>
            </w:pPr>
            <w:r w:rsidRPr="00A53AD6">
              <w:rPr>
                <w:rFonts w:ascii="Candara" w:hAnsi="Candara"/>
                <w:sz w:val="18"/>
                <w:szCs w:val="18"/>
              </w:rPr>
              <w:t>Article Info</w:t>
            </w:r>
          </w:p>
        </w:tc>
        <w:tc>
          <w:tcPr>
            <w:tcW w:w="6754" w:type="dxa"/>
            <w:shd w:val="clear" w:color="auto" w:fill="F2F2F2" w:themeFill="background1" w:themeFillShade="F2"/>
          </w:tcPr>
          <w:p w:rsidR="00EF1E39" w:rsidRPr="00A53AD6" w:rsidRDefault="00EF1E39" w:rsidP="001C0EB7">
            <w:pPr>
              <w:rPr>
                <w:rFonts w:ascii="Candara" w:hAnsi="Candara"/>
                <w:sz w:val="18"/>
                <w:szCs w:val="18"/>
              </w:rPr>
            </w:pPr>
            <w:r w:rsidRPr="00A53AD6">
              <w:rPr>
                <w:rFonts w:ascii="Candara" w:hAnsi="Candara"/>
                <w:sz w:val="18"/>
                <w:szCs w:val="18"/>
              </w:rPr>
              <w:t>Abstract</w:t>
            </w:r>
          </w:p>
        </w:tc>
      </w:tr>
      <w:tr w:rsidR="00186FAA" w:rsidRPr="00A53AD6" w:rsidTr="001C0EB7">
        <w:tc>
          <w:tcPr>
            <w:tcW w:w="2263" w:type="dxa"/>
            <w:shd w:val="clear" w:color="auto" w:fill="F2F2F2" w:themeFill="background1" w:themeFillShade="F2"/>
          </w:tcPr>
          <w:p w:rsidR="00A53AD6" w:rsidRPr="00A53AD6" w:rsidRDefault="00186FAA" w:rsidP="001C0EB7">
            <w:pPr>
              <w:pStyle w:val="biolockkeyword"/>
              <w:rPr>
                <w:sz w:val="18"/>
                <w:szCs w:val="18"/>
              </w:rPr>
            </w:pPr>
            <w:r w:rsidRPr="00A53AD6">
              <w:rPr>
                <w:sz w:val="18"/>
                <w:szCs w:val="18"/>
              </w:rPr>
              <w:t>Keywords:</w:t>
            </w:r>
          </w:p>
          <w:p w:rsidR="00186FAA" w:rsidRPr="00A53AD6" w:rsidRDefault="00F3499A" w:rsidP="001C0EB7">
            <w:pPr>
              <w:pStyle w:val="biolockkeyword"/>
              <w:rPr>
                <w:sz w:val="18"/>
                <w:szCs w:val="18"/>
              </w:rPr>
            </w:pPr>
            <w:r w:rsidRPr="00A53AD6">
              <w:rPr>
                <w:sz w:val="18"/>
                <w:szCs w:val="18"/>
              </w:rPr>
              <w:t>Learning Media; Interactive Multimedia; Critical Thinking; Learning motivation</w:t>
            </w:r>
            <w:r w:rsidR="00EB152B" w:rsidRPr="00A53AD6">
              <w:rPr>
                <w:sz w:val="18"/>
                <w:szCs w:val="18"/>
              </w:rPr>
              <w:t>;</w:t>
            </w:r>
          </w:p>
        </w:tc>
        <w:tc>
          <w:tcPr>
            <w:tcW w:w="6754" w:type="dxa"/>
            <w:vMerge w:val="restart"/>
            <w:shd w:val="clear" w:color="auto" w:fill="F2F2F2" w:themeFill="background1" w:themeFillShade="F2"/>
          </w:tcPr>
          <w:p w:rsidR="00A53AD6" w:rsidRPr="00A53AD6" w:rsidRDefault="00A53AD6" w:rsidP="00A53AD6">
            <w:pPr>
              <w:pStyle w:val="biolockemail"/>
              <w:jc w:val="both"/>
              <w:rPr>
                <w:sz w:val="18"/>
                <w:szCs w:val="18"/>
              </w:rPr>
            </w:pPr>
            <w:r w:rsidRPr="00A53AD6">
              <w:rPr>
                <w:sz w:val="18"/>
                <w:szCs w:val="18"/>
              </w:rPr>
              <w:t>Background: Critical thinking skills and learning motivation are essential for meaningful biology education. However, conventional teaching approaches often provide limited opportunities for active engagement, analytical reasoning, and independent learning. Interactive multimedia offers an alternative by integrating various digital elements to create engaging and student-centered learning experiences.</w:t>
            </w:r>
          </w:p>
          <w:p w:rsidR="00A53AD6" w:rsidRPr="00A53AD6" w:rsidRDefault="00A53AD6" w:rsidP="00A53AD6">
            <w:pPr>
              <w:pStyle w:val="biolockemail"/>
              <w:jc w:val="both"/>
              <w:rPr>
                <w:sz w:val="18"/>
                <w:szCs w:val="18"/>
              </w:rPr>
            </w:pPr>
            <w:r w:rsidRPr="00A53AD6">
              <w:rPr>
                <w:sz w:val="18"/>
                <w:szCs w:val="18"/>
              </w:rPr>
              <w:t>Research Gap: Although interactive multimedia has been increasingly incorporated into educational practices, empirical evidence examining its simultaneous effects on students’ critical thinking skills and learning motivati</w:t>
            </w:r>
            <w:bookmarkStart w:id="0" w:name="_GoBack"/>
            <w:bookmarkEnd w:id="0"/>
            <w:r w:rsidRPr="00A53AD6">
              <w:rPr>
                <w:sz w:val="18"/>
                <w:szCs w:val="18"/>
              </w:rPr>
              <w:t xml:space="preserve">on remains limited, particularly in biology education at SMA </w:t>
            </w:r>
            <w:proofErr w:type="spellStart"/>
            <w:r w:rsidRPr="00A53AD6">
              <w:rPr>
                <w:sz w:val="18"/>
                <w:szCs w:val="18"/>
              </w:rPr>
              <w:t>Negeri</w:t>
            </w:r>
            <w:proofErr w:type="spellEnd"/>
            <w:r w:rsidRPr="00A53AD6">
              <w:rPr>
                <w:sz w:val="18"/>
                <w:szCs w:val="18"/>
              </w:rPr>
              <w:t xml:space="preserve"> 10 Bengkulu Utara.</w:t>
            </w:r>
          </w:p>
          <w:p w:rsidR="00A53AD6" w:rsidRPr="00A53AD6" w:rsidRDefault="00A53AD6" w:rsidP="00A53AD6">
            <w:pPr>
              <w:pStyle w:val="biolockemail"/>
              <w:jc w:val="both"/>
              <w:rPr>
                <w:sz w:val="18"/>
                <w:szCs w:val="18"/>
              </w:rPr>
            </w:pPr>
            <w:r w:rsidRPr="00A53AD6">
              <w:rPr>
                <w:sz w:val="18"/>
                <w:szCs w:val="18"/>
              </w:rPr>
              <w:t>Novelty: This study simultaneously investigates the effectiveness of interactive multimedia-based biology learning media in enhancing two essential educational outcomes: critical thinking skills and learning motivation, providing context-specific empirical evidence for technology-supported biology instruction.</w:t>
            </w:r>
          </w:p>
          <w:p w:rsidR="00A53AD6" w:rsidRPr="00A53AD6" w:rsidRDefault="00A53AD6" w:rsidP="00A53AD6">
            <w:pPr>
              <w:pStyle w:val="biolockemail"/>
              <w:jc w:val="both"/>
              <w:rPr>
                <w:sz w:val="18"/>
                <w:szCs w:val="18"/>
              </w:rPr>
            </w:pPr>
            <w:r w:rsidRPr="00A53AD6">
              <w:rPr>
                <w:sz w:val="18"/>
                <w:szCs w:val="18"/>
              </w:rPr>
              <w:t>Methods: A quantitative quasi-experimental approach employing a pretest–posttest non-equivalent control group design was implemented. Two Grade X science classes participated as experimental and control groups. Data were collected through critical thinking assessments and learning motivation questionnaires. Statistical analyses included normality, homogeneity, and hypothesis testing using SPSS.</w:t>
            </w:r>
          </w:p>
          <w:p w:rsidR="00A53AD6" w:rsidRPr="00A53AD6" w:rsidRDefault="00A53AD6" w:rsidP="00A53AD6">
            <w:pPr>
              <w:pStyle w:val="biolockemail"/>
              <w:jc w:val="both"/>
              <w:rPr>
                <w:sz w:val="18"/>
                <w:szCs w:val="18"/>
              </w:rPr>
            </w:pPr>
            <w:r w:rsidRPr="00A53AD6">
              <w:rPr>
                <w:sz w:val="18"/>
                <w:szCs w:val="18"/>
              </w:rPr>
              <w:t>Results: The findings demonstrated statistically significant differences between the experimental and control groups in critical thinking skills (p = 0.014) and learning motivation (p = 0.047), with both significance values below the 0.05 threshold. These results support the effectiveness of interactive multimedia-based instruction in improving both educational outcomes.</w:t>
            </w:r>
          </w:p>
          <w:p w:rsidR="00186FAA" w:rsidRPr="00A53AD6" w:rsidRDefault="00A53AD6" w:rsidP="00A53AD6">
            <w:pPr>
              <w:pStyle w:val="biolockemail"/>
              <w:jc w:val="both"/>
              <w:rPr>
                <w:sz w:val="18"/>
                <w:szCs w:val="18"/>
              </w:rPr>
            </w:pPr>
            <w:r w:rsidRPr="00A53AD6">
              <w:rPr>
                <w:sz w:val="18"/>
                <w:szCs w:val="18"/>
              </w:rPr>
              <w:t>Conclusion: Interactive multimedia-based biology learning media significantly enhance students’ critical thinking skills and learning motivation. Integrating interactive digital resources into biology instruction can support more engaging, participatory, and meaningful learning experiences.</w:t>
            </w:r>
          </w:p>
        </w:tc>
      </w:tr>
      <w:tr w:rsidR="00186FAA" w:rsidRPr="00A53AD6" w:rsidTr="001C0EB7">
        <w:tc>
          <w:tcPr>
            <w:tcW w:w="2263" w:type="dxa"/>
            <w:shd w:val="clear" w:color="auto" w:fill="F2F2F2" w:themeFill="background1" w:themeFillShade="F2"/>
          </w:tcPr>
          <w:p w:rsidR="00AF087C" w:rsidRPr="00A53AD6" w:rsidRDefault="00186FAA" w:rsidP="001C0EB7">
            <w:pPr>
              <w:pStyle w:val="biolockhistory"/>
              <w:rPr>
                <w:sz w:val="18"/>
                <w:szCs w:val="18"/>
              </w:rPr>
            </w:pPr>
            <w:r w:rsidRPr="00A53AD6">
              <w:rPr>
                <w:sz w:val="18"/>
                <w:szCs w:val="18"/>
              </w:rPr>
              <w:t>Received:</w:t>
            </w:r>
            <w:r w:rsidR="001C0EB7" w:rsidRPr="00A53AD6">
              <w:rPr>
                <w:sz w:val="18"/>
                <w:szCs w:val="18"/>
              </w:rPr>
              <w:t xml:space="preserve"> </w:t>
            </w:r>
            <w:r w:rsidR="00F3499A" w:rsidRPr="00A53AD6">
              <w:rPr>
                <w:sz w:val="18"/>
                <w:szCs w:val="18"/>
              </w:rPr>
              <w:t>3</w:t>
            </w:r>
            <w:r w:rsidR="00EB152B" w:rsidRPr="00A53AD6">
              <w:rPr>
                <w:sz w:val="18"/>
                <w:szCs w:val="18"/>
              </w:rPr>
              <w:t>/10</w:t>
            </w:r>
            <w:r w:rsidR="00A53AD6" w:rsidRPr="00A53AD6">
              <w:rPr>
                <w:sz w:val="18"/>
                <w:szCs w:val="18"/>
              </w:rPr>
              <w:t>/2026</w:t>
            </w:r>
          </w:p>
          <w:p w:rsidR="00AF087C" w:rsidRPr="00A53AD6" w:rsidRDefault="00186FAA" w:rsidP="001C0EB7">
            <w:pPr>
              <w:pStyle w:val="biolockhistory"/>
              <w:rPr>
                <w:sz w:val="18"/>
                <w:szCs w:val="18"/>
              </w:rPr>
            </w:pPr>
            <w:r w:rsidRPr="00A53AD6">
              <w:rPr>
                <w:sz w:val="18"/>
                <w:szCs w:val="18"/>
              </w:rPr>
              <w:t>Revised:</w:t>
            </w:r>
            <w:r w:rsidR="001C0EB7" w:rsidRPr="00A53AD6">
              <w:rPr>
                <w:sz w:val="18"/>
                <w:szCs w:val="18"/>
              </w:rPr>
              <w:t xml:space="preserve"> </w:t>
            </w:r>
            <w:r w:rsidR="00A53AD6" w:rsidRPr="00A53AD6">
              <w:rPr>
                <w:sz w:val="18"/>
                <w:szCs w:val="18"/>
              </w:rPr>
              <w:t>5/19</w:t>
            </w:r>
            <w:r w:rsidR="00AF087C" w:rsidRPr="00A53AD6">
              <w:rPr>
                <w:sz w:val="18"/>
                <w:szCs w:val="18"/>
              </w:rPr>
              <w:t>/2026</w:t>
            </w:r>
          </w:p>
          <w:p w:rsidR="00AF087C" w:rsidRPr="00A53AD6" w:rsidRDefault="00186FAA" w:rsidP="001C0EB7">
            <w:pPr>
              <w:pStyle w:val="biolockhistory"/>
              <w:rPr>
                <w:sz w:val="18"/>
                <w:szCs w:val="18"/>
              </w:rPr>
            </w:pPr>
            <w:r w:rsidRPr="00A53AD6">
              <w:rPr>
                <w:sz w:val="18"/>
                <w:szCs w:val="18"/>
              </w:rPr>
              <w:t>Accepted:</w:t>
            </w:r>
            <w:r w:rsidR="001C0EB7" w:rsidRPr="00A53AD6">
              <w:rPr>
                <w:sz w:val="18"/>
                <w:szCs w:val="18"/>
              </w:rPr>
              <w:t xml:space="preserve"> </w:t>
            </w:r>
            <w:r w:rsidR="00A53AD6" w:rsidRPr="00A53AD6">
              <w:rPr>
                <w:sz w:val="18"/>
                <w:szCs w:val="18"/>
              </w:rPr>
              <w:t>6/3</w:t>
            </w:r>
            <w:r w:rsidR="00AF087C" w:rsidRPr="00A53AD6">
              <w:rPr>
                <w:sz w:val="18"/>
                <w:szCs w:val="18"/>
              </w:rPr>
              <w:t>/2026</w:t>
            </w:r>
          </w:p>
          <w:p w:rsidR="00A53AD6" w:rsidRPr="00A53AD6" w:rsidRDefault="00A53AD6" w:rsidP="001C0EB7">
            <w:pPr>
              <w:pStyle w:val="biolockhistory"/>
              <w:rPr>
                <w:sz w:val="18"/>
                <w:szCs w:val="18"/>
              </w:rPr>
            </w:pPr>
            <w:r w:rsidRPr="00A53AD6">
              <w:rPr>
                <w:sz w:val="18"/>
                <w:szCs w:val="18"/>
              </w:rPr>
              <w:t>Published: 6/11/2026</w:t>
            </w:r>
          </w:p>
        </w:tc>
        <w:tc>
          <w:tcPr>
            <w:tcW w:w="6754" w:type="dxa"/>
            <w:vMerge/>
            <w:shd w:val="clear" w:color="auto" w:fill="F2F2F2" w:themeFill="background1" w:themeFillShade="F2"/>
          </w:tcPr>
          <w:p w:rsidR="00186FAA" w:rsidRPr="00A53AD6" w:rsidRDefault="00186FAA" w:rsidP="001C0EB7">
            <w:pPr>
              <w:pStyle w:val="biolockemail"/>
              <w:rPr>
                <w:sz w:val="18"/>
                <w:szCs w:val="18"/>
              </w:rPr>
            </w:pPr>
          </w:p>
        </w:tc>
      </w:tr>
    </w:tbl>
    <w:p w:rsidR="00EF1E39" w:rsidRDefault="00EF1E39" w:rsidP="00AF087C">
      <w:pPr>
        <w:pStyle w:val="biolockspasi"/>
      </w:pPr>
    </w:p>
    <w:p w:rsidR="004844A2" w:rsidRDefault="004844A2" w:rsidP="004844A2">
      <w:pPr>
        <w:pStyle w:val="biolockspasi"/>
      </w:pPr>
    </w:p>
    <w:p w:rsidR="00A53AD6" w:rsidRDefault="00A53AD6" w:rsidP="004844A2">
      <w:pPr>
        <w:pStyle w:val="biolockspasi"/>
      </w:pPr>
    </w:p>
    <w:p w:rsidR="00AF087C" w:rsidRDefault="00AF087C" w:rsidP="00AF087C">
      <w:pPr>
        <w:pStyle w:val="biolockbab"/>
      </w:pPr>
      <w:r>
        <w:lastRenderedPageBreak/>
        <w:t>INTRODUCTION</w:t>
      </w:r>
    </w:p>
    <w:p w:rsidR="009B316D" w:rsidRDefault="009B316D" w:rsidP="009B316D">
      <w:pPr>
        <w:pStyle w:val="biolockisi"/>
      </w:pPr>
      <w:r>
        <w:t>Critical thinking is a way of approaching and solving problems based on persuasive, logical, and rational arguments, involving verification, evaluation, and selection of appropriate answers to assigned tasks and reasoned rejection of alternative solutions (</w:t>
      </w:r>
      <w:proofErr w:type="spellStart"/>
      <w:r>
        <w:t>Florea</w:t>
      </w:r>
      <w:proofErr w:type="spellEnd"/>
      <w:r>
        <w:t xml:space="preserve"> </w:t>
      </w:r>
      <w:proofErr w:type="spellStart"/>
      <w:r>
        <w:t>Hurjui</w:t>
      </w:r>
      <w:proofErr w:type="spellEnd"/>
      <w:r>
        <w:t>, 2015). Critical thinking is rational, reflective thinking focused on deciding what to believe or do (Ennis, 2015).</w:t>
      </w:r>
    </w:p>
    <w:p w:rsidR="009B316D" w:rsidRDefault="009B316D" w:rsidP="009B316D">
      <w:pPr>
        <w:pStyle w:val="biolockisi"/>
      </w:pPr>
      <w:r>
        <w:t xml:space="preserve">Critical thinking is one of </w:t>
      </w:r>
      <w:proofErr w:type="spellStart"/>
      <w:r>
        <w:t>Adnyana's</w:t>
      </w:r>
      <w:proofErr w:type="spellEnd"/>
      <w:r>
        <w:t xml:space="preserve"> higher-order thinking skills. The challenge in education is requiring students to think at a higher level. In biology, critical thinking skills are essential for students to solve problems encountered during experiments. According to Cottrell (2005), critical thinking is the ability to draw accurate conclusions about a problem, review, and thoroughly examine decisions made. Critical thinking is also a way of thinking that analyzes an argument and generates insights (</w:t>
      </w:r>
      <w:proofErr w:type="spellStart"/>
      <w:r>
        <w:t>Kartimi</w:t>
      </w:r>
      <w:proofErr w:type="spellEnd"/>
      <w:r>
        <w:t xml:space="preserve">, 2012). To improve critical thinking skills and student learning motivation, a more engaging and effective learning system is essential. The aspect most discussed in this research is the learning media used in teaching and learning activities. Because learning media is a supporting aspect of learning that is closely related to improving the quality of student learning. According to </w:t>
      </w:r>
      <w:proofErr w:type="spellStart"/>
      <w:r>
        <w:t>Retnowati</w:t>
      </w:r>
      <w:proofErr w:type="spellEnd"/>
      <w:r>
        <w:t xml:space="preserve"> (2017), learning media is a crucial element in the teaching and learning process, conveying messages to students, whether through tools, people, or teaching materials. Furthermore, learning media can also stimulate students to be more effective. The use of media in learning significantly aids the learning process and helps children understand abstract concepts more concretely (</w:t>
      </w:r>
      <w:proofErr w:type="spellStart"/>
      <w:r>
        <w:t>Jasmiati</w:t>
      </w:r>
      <w:proofErr w:type="spellEnd"/>
      <w:r>
        <w:t>, 2018).</w:t>
      </w:r>
    </w:p>
    <w:p w:rsidR="009B316D" w:rsidRDefault="009B316D" w:rsidP="009B316D">
      <w:pPr>
        <w:pStyle w:val="biolockisi"/>
      </w:pPr>
      <w:r>
        <w:t xml:space="preserve">The use of interactive multimedia in learning is a highly feasible solution for improving desired thinking skills. The advantage of interactive multimedia is that it can prepare human resources through quality education. During the learning process, students are expected to acquire reasoning, communication, and problem-solving skills, as well as develop an appreciation for the usefulness of the material presented. These skills include critical, systematic, logical, and creative thinking, which are highly needed in today's technological era, for example in selecting and managing information and communicating. </w:t>
      </w:r>
      <w:proofErr w:type="spellStart"/>
      <w:r>
        <w:t>Saminathan</w:t>
      </w:r>
      <w:proofErr w:type="spellEnd"/>
      <w:r>
        <w:t xml:space="preserve"> (2015)</w:t>
      </w:r>
    </w:p>
    <w:p w:rsidR="00361ACD" w:rsidRDefault="009B316D" w:rsidP="009B316D">
      <w:pPr>
        <w:pStyle w:val="biolockisi"/>
      </w:pPr>
      <w:r>
        <w:t>Interactive multimedia can be a solution for improving students' critical thinking skills because it allows for student-focused learning and stimulates interest in problem-solving. Interactive multimedia can also visualize abstract concepts more concretely, especially in drawing free force diagrams on torque and rigid body equilibrium. In addition, interactive multimedia can improve students' critical thinking skills, especially in building basic skills, analyzing arguments, and making inferences. However, currently available interactive multimedia is less than optimal in helping students solve problems. In fact, problem solving can train students' critical thinking skills. Most existing interactive multimedia only contains materials, experimental videos, and evaluation questions that do not support critical thinking. Therefore, in this study, interactive multimedia was applied to improve thinking skills. Amelia, DJ, (2014).</w:t>
      </w:r>
    </w:p>
    <w:p w:rsidR="00361ACD" w:rsidRDefault="00361ACD" w:rsidP="00AF087C">
      <w:pPr>
        <w:pStyle w:val="biolockbab"/>
      </w:pPr>
      <w:r>
        <w:t>METHODS</w:t>
      </w:r>
    </w:p>
    <w:p w:rsidR="009B316D" w:rsidRDefault="009B316D" w:rsidP="009B316D">
      <w:pPr>
        <w:pStyle w:val="biolockisi"/>
      </w:pPr>
      <w:r>
        <w:t>This study employed a quasi-experimental method with a quantitative approach. This study aimed to determine the effect of the independent variable, interactive multimedia-based biology learning media, on the dependent variables, critical thinking skills and student motivation.</w:t>
      </w:r>
    </w:p>
    <w:p w:rsidR="009B316D" w:rsidRDefault="009B316D" w:rsidP="009B316D">
      <w:pPr>
        <w:pStyle w:val="biolockisi"/>
      </w:pPr>
      <w:r>
        <w:t>The sample in this study was two 10th grade students from the Mathematics and Natural Sciences (MIPA) class, selected as the two groups: the experimental group and the control group. The data collection tools used in this study were test questions and a respondent questionnaire.</w:t>
      </w:r>
    </w:p>
    <w:p w:rsidR="009B316D" w:rsidRDefault="009B316D" w:rsidP="009B316D">
      <w:pPr>
        <w:pStyle w:val="biolockisi"/>
      </w:pPr>
      <w:r>
        <w:t>The research instruments used in this study were test questions to measure students' critical thinking skills and a respondent questionnaire to measure student learning motivation.</w:t>
      </w:r>
    </w:p>
    <w:p w:rsidR="00361ACD" w:rsidRDefault="009B316D" w:rsidP="009B316D">
      <w:pPr>
        <w:pStyle w:val="biolockisi"/>
      </w:pPr>
      <w:r>
        <w:lastRenderedPageBreak/>
        <w:t>Critical thinking skills data processing: Converting the accumulated critical thinking skills observation scores of each student into percentages. Data analysis techniques used were normality tests, homogeneity tests, and hypothesis testing using SPSS.</w:t>
      </w:r>
    </w:p>
    <w:p w:rsidR="00361ACD" w:rsidRDefault="00361ACD" w:rsidP="00AF087C">
      <w:pPr>
        <w:pStyle w:val="biolockbab"/>
      </w:pPr>
      <w:r>
        <w:t>RESULT AND DISCUSSION</w:t>
      </w:r>
    </w:p>
    <w:p w:rsidR="00361ACD" w:rsidRDefault="006E75D7" w:rsidP="009B316D">
      <w:pPr>
        <w:pStyle w:val="biolocksubbab"/>
      </w:pPr>
      <w:r w:rsidRPr="006E75D7">
        <w:t>Students' Critical Thinking Skills Results</w:t>
      </w:r>
    </w:p>
    <w:p w:rsidR="009B316D" w:rsidRDefault="006E75D7" w:rsidP="006E75D7">
      <w:pPr>
        <w:pStyle w:val="biolockcaption-table"/>
      </w:pPr>
      <w:r>
        <w:t xml:space="preserve">Table 1. </w:t>
      </w:r>
      <w:r w:rsidRPr="006E75D7">
        <w:t>Pre-test and Post-test Calculations for Critical Thinking Skills</w:t>
      </w:r>
    </w:p>
    <w:tbl>
      <w:tblPr>
        <w:tblStyle w:val="TableGrid"/>
        <w:tblW w:w="5000" w:type="pct"/>
        <w:tblLook w:val="04A0" w:firstRow="1" w:lastRow="0" w:firstColumn="1" w:lastColumn="0" w:noHBand="0" w:noVBand="1"/>
      </w:tblPr>
      <w:tblGrid>
        <w:gridCol w:w="1501"/>
        <w:gridCol w:w="1852"/>
        <w:gridCol w:w="1906"/>
        <w:gridCol w:w="1852"/>
        <w:gridCol w:w="1906"/>
      </w:tblGrid>
      <w:tr w:rsidR="006E75D7" w:rsidRPr="006E75D7" w:rsidTr="006E75D7">
        <w:tc>
          <w:tcPr>
            <w:tcW w:w="832" w:type="pct"/>
            <w:vMerge w:val="restart"/>
            <w:hideMark/>
          </w:tcPr>
          <w:p w:rsidR="006E75D7" w:rsidRPr="006E75D7" w:rsidRDefault="006E75D7" w:rsidP="006E75D7">
            <w:pPr>
              <w:jc w:val="center"/>
              <w:rPr>
                <w:rFonts w:ascii="Times New Roman" w:eastAsia="Times New Roman" w:hAnsi="Times New Roman" w:cs="Times New Roman"/>
                <w:sz w:val="24"/>
                <w:szCs w:val="24"/>
                <w:lang w:val="id-ID" w:eastAsia="id-ID"/>
              </w:rPr>
            </w:pPr>
            <w:proofErr w:type="spellStart"/>
            <w:r w:rsidRPr="006E75D7">
              <w:rPr>
                <w:rFonts w:ascii="Times New Roman" w:eastAsia="Times New Roman" w:hAnsi="Times New Roman" w:cs="Times New Roman"/>
                <w:sz w:val="20"/>
                <w:szCs w:val="20"/>
                <w:lang w:eastAsia="id-ID"/>
              </w:rPr>
              <w:t>Nilai</w:t>
            </w:r>
            <w:proofErr w:type="spellEnd"/>
          </w:p>
        </w:tc>
        <w:tc>
          <w:tcPr>
            <w:tcW w:w="2084" w:type="pct"/>
            <w:gridSpan w:val="2"/>
            <w:hideMark/>
          </w:tcPr>
          <w:p w:rsidR="006E75D7" w:rsidRPr="006E75D7" w:rsidRDefault="006E75D7" w:rsidP="006E75D7">
            <w:pPr>
              <w:jc w:val="center"/>
              <w:rPr>
                <w:rFonts w:ascii="Times New Roman" w:eastAsia="Times New Roman" w:hAnsi="Times New Roman" w:cs="Times New Roman"/>
                <w:sz w:val="24"/>
                <w:szCs w:val="24"/>
                <w:lang w:val="id-ID" w:eastAsia="id-ID"/>
              </w:rPr>
            </w:pPr>
            <w:proofErr w:type="spellStart"/>
            <w:r w:rsidRPr="006E75D7">
              <w:rPr>
                <w:rFonts w:ascii="Times New Roman" w:eastAsia="Times New Roman" w:hAnsi="Times New Roman" w:cs="Times New Roman"/>
                <w:sz w:val="20"/>
                <w:szCs w:val="20"/>
                <w:lang w:eastAsia="id-ID"/>
              </w:rPr>
              <w:t>Kelas</w:t>
            </w:r>
            <w:proofErr w:type="spellEnd"/>
            <w:r w:rsidRPr="006E75D7">
              <w:rPr>
                <w:rFonts w:ascii="Times New Roman" w:eastAsia="Times New Roman" w:hAnsi="Times New Roman" w:cs="Times New Roman"/>
                <w:sz w:val="20"/>
                <w:szCs w:val="20"/>
                <w:lang w:eastAsia="id-ID"/>
              </w:rPr>
              <w:t xml:space="preserve"> X1</w:t>
            </w:r>
          </w:p>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w:t>
            </w:r>
            <w:proofErr w:type="spellStart"/>
            <w:r w:rsidRPr="006E75D7">
              <w:rPr>
                <w:rFonts w:ascii="Times New Roman" w:eastAsia="Times New Roman" w:hAnsi="Times New Roman" w:cs="Times New Roman"/>
                <w:sz w:val="20"/>
                <w:szCs w:val="20"/>
                <w:lang w:eastAsia="id-ID"/>
              </w:rPr>
              <w:t>Eksperimen</w:t>
            </w:r>
            <w:proofErr w:type="spellEnd"/>
            <w:r w:rsidRPr="006E75D7">
              <w:rPr>
                <w:rFonts w:ascii="Times New Roman" w:eastAsia="Times New Roman" w:hAnsi="Times New Roman" w:cs="Times New Roman"/>
                <w:sz w:val="20"/>
                <w:szCs w:val="20"/>
                <w:lang w:eastAsia="id-ID"/>
              </w:rPr>
              <w:t>)</w:t>
            </w:r>
          </w:p>
        </w:tc>
        <w:tc>
          <w:tcPr>
            <w:tcW w:w="2084" w:type="pct"/>
            <w:gridSpan w:val="2"/>
            <w:hideMark/>
          </w:tcPr>
          <w:p w:rsidR="006E75D7" w:rsidRPr="006E75D7" w:rsidRDefault="006E75D7" w:rsidP="006E75D7">
            <w:pPr>
              <w:jc w:val="center"/>
              <w:rPr>
                <w:rFonts w:ascii="Times New Roman" w:eastAsia="Times New Roman" w:hAnsi="Times New Roman" w:cs="Times New Roman"/>
                <w:sz w:val="24"/>
                <w:szCs w:val="24"/>
                <w:lang w:val="id-ID" w:eastAsia="id-ID"/>
              </w:rPr>
            </w:pPr>
            <w:proofErr w:type="spellStart"/>
            <w:r w:rsidRPr="006E75D7">
              <w:rPr>
                <w:rFonts w:ascii="Times New Roman" w:eastAsia="Times New Roman" w:hAnsi="Times New Roman" w:cs="Times New Roman"/>
                <w:sz w:val="20"/>
                <w:szCs w:val="20"/>
                <w:lang w:eastAsia="id-ID"/>
              </w:rPr>
              <w:t>Kelas</w:t>
            </w:r>
            <w:proofErr w:type="spellEnd"/>
            <w:r w:rsidRPr="006E75D7">
              <w:rPr>
                <w:rFonts w:ascii="Times New Roman" w:eastAsia="Times New Roman" w:hAnsi="Times New Roman" w:cs="Times New Roman"/>
                <w:sz w:val="20"/>
                <w:szCs w:val="20"/>
                <w:lang w:eastAsia="id-ID"/>
              </w:rPr>
              <w:t xml:space="preserve"> X2</w:t>
            </w:r>
          </w:p>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w:t>
            </w:r>
            <w:proofErr w:type="spellStart"/>
            <w:r w:rsidRPr="006E75D7">
              <w:rPr>
                <w:rFonts w:ascii="Times New Roman" w:eastAsia="Times New Roman" w:hAnsi="Times New Roman" w:cs="Times New Roman"/>
                <w:sz w:val="20"/>
                <w:szCs w:val="20"/>
                <w:lang w:eastAsia="id-ID"/>
              </w:rPr>
              <w:t>Kontrol</w:t>
            </w:r>
            <w:proofErr w:type="spellEnd"/>
            <w:r w:rsidRPr="006E75D7">
              <w:rPr>
                <w:rFonts w:ascii="Times New Roman" w:eastAsia="Times New Roman" w:hAnsi="Times New Roman" w:cs="Times New Roman"/>
                <w:sz w:val="20"/>
                <w:szCs w:val="20"/>
                <w:lang w:eastAsia="id-ID"/>
              </w:rPr>
              <w:t>)</w:t>
            </w:r>
          </w:p>
        </w:tc>
      </w:tr>
      <w:tr w:rsidR="006E75D7" w:rsidRPr="006E75D7" w:rsidTr="006E75D7">
        <w:tc>
          <w:tcPr>
            <w:tcW w:w="832" w:type="pct"/>
            <w:vMerge/>
            <w:hideMark/>
          </w:tcPr>
          <w:p w:rsidR="006E75D7" w:rsidRPr="006E75D7" w:rsidRDefault="006E75D7" w:rsidP="006E75D7">
            <w:pPr>
              <w:rPr>
                <w:rFonts w:ascii="Times New Roman" w:eastAsia="Times New Roman" w:hAnsi="Times New Roman" w:cs="Times New Roman"/>
                <w:sz w:val="24"/>
                <w:szCs w:val="24"/>
                <w:lang w:val="id-ID" w:eastAsia="id-ID"/>
              </w:rPr>
            </w:pP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Pretest</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proofErr w:type="spellStart"/>
            <w:r w:rsidRPr="006E75D7">
              <w:rPr>
                <w:rFonts w:ascii="Times New Roman" w:eastAsia="Times New Roman" w:hAnsi="Times New Roman" w:cs="Times New Roman"/>
                <w:sz w:val="20"/>
                <w:szCs w:val="20"/>
                <w:lang w:eastAsia="id-ID"/>
              </w:rPr>
              <w:t>Postest</w:t>
            </w:r>
            <w:proofErr w:type="spellEnd"/>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Pretest</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proofErr w:type="spellStart"/>
            <w:r w:rsidRPr="006E75D7">
              <w:rPr>
                <w:rFonts w:ascii="Times New Roman" w:eastAsia="Times New Roman" w:hAnsi="Times New Roman" w:cs="Times New Roman"/>
                <w:sz w:val="20"/>
                <w:szCs w:val="20"/>
                <w:lang w:eastAsia="id-ID"/>
              </w:rPr>
              <w:t>Postest</w:t>
            </w:r>
            <w:proofErr w:type="spellEnd"/>
          </w:p>
        </w:tc>
      </w:tr>
      <w:tr w:rsidR="006E75D7" w:rsidRPr="006E75D7" w:rsidTr="006E75D7">
        <w:tc>
          <w:tcPr>
            <w:tcW w:w="832"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Sum</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401</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707</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434</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590</w:t>
            </w:r>
          </w:p>
        </w:tc>
      </w:tr>
      <w:tr w:rsidR="006E75D7" w:rsidRPr="006E75D7" w:rsidTr="006E75D7">
        <w:tc>
          <w:tcPr>
            <w:tcW w:w="832"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Max</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26</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40</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24</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31</w:t>
            </w:r>
          </w:p>
        </w:tc>
      </w:tr>
      <w:tr w:rsidR="006E75D7" w:rsidRPr="006E75D7" w:rsidTr="006E75D7">
        <w:tc>
          <w:tcPr>
            <w:tcW w:w="832"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Min</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15</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32</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12</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23</w:t>
            </w:r>
          </w:p>
        </w:tc>
      </w:tr>
      <w:tr w:rsidR="006E75D7" w:rsidRPr="006E75D7" w:rsidTr="006E75D7">
        <w:tc>
          <w:tcPr>
            <w:tcW w:w="832"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Σ</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val="id-ID" w:eastAsia="id-ID"/>
              </w:rPr>
              <w:t>50,12</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88,37</w:t>
            </w:r>
          </w:p>
        </w:tc>
        <w:tc>
          <w:tcPr>
            <w:tcW w:w="102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49,31</w:t>
            </w:r>
          </w:p>
        </w:tc>
        <w:tc>
          <w:tcPr>
            <w:tcW w:w="1057" w:type="pct"/>
            <w:hideMark/>
          </w:tcPr>
          <w:p w:rsidR="006E75D7" w:rsidRPr="006E75D7" w:rsidRDefault="006E75D7" w:rsidP="006E75D7">
            <w:pPr>
              <w:jc w:val="center"/>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sz w:val="20"/>
                <w:szCs w:val="20"/>
                <w:lang w:eastAsia="id-ID"/>
              </w:rPr>
              <w:t>67,04</w:t>
            </w:r>
          </w:p>
        </w:tc>
      </w:tr>
    </w:tbl>
    <w:p w:rsidR="006E75D7" w:rsidRDefault="006E75D7" w:rsidP="006E75D7">
      <w:pPr>
        <w:pStyle w:val="biolockisi"/>
      </w:pPr>
    </w:p>
    <w:p w:rsidR="006E75D7" w:rsidRDefault="006E75D7" w:rsidP="006E75D7">
      <w:pPr>
        <w:pStyle w:val="biolockisi"/>
      </w:pPr>
      <w:r w:rsidRPr="006E75D7">
        <w:t>Based on the table above, it can be seen that the results of the pre-test and post-test of critical thinking skills of experimental class students have an average pre-test score of 50.12 with the highest score of 26 and the lowest score of 15, while the average post-test score is 88.37 with the highest score of 40 and the lowest score of 32. Meanwhile, the control class has an average pre-test score of 49.31 with the highest score of 24 and the lowest score of 12, while the average post-test is 67.04.55 with the highest score of 31 and the lowest score of 23.</w:t>
      </w:r>
    </w:p>
    <w:p w:rsidR="006E75D7" w:rsidRDefault="006E75D7" w:rsidP="006E75D7">
      <w:pPr>
        <w:pStyle w:val="biolockisi"/>
        <w:ind w:firstLine="0"/>
        <w:jc w:val="center"/>
      </w:pPr>
      <w:r w:rsidRPr="006E75D7">
        <w:rPr>
          <w:noProof/>
        </w:rPr>
        <w:drawing>
          <wp:inline distT="0" distB="0" distL="0" distR="0" wp14:anchorId="5C43CF59" wp14:editId="4C6AB6C1">
            <wp:extent cx="3912701" cy="1783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24219" cy="1788329"/>
                    </a:xfrm>
                    <a:prstGeom prst="rect">
                      <a:avLst/>
                    </a:prstGeom>
                  </pic:spPr>
                </pic:pic>
              </a:graphicData>
            </a:graphic>
          </wp:inline>
        </w:drawing>
      </w:r>
    </w:p>
    <w:p w:rsidR="006E75D7" w:rsidRDefault="00857C41" w:rsidP="006E75D7">
      <w:pPr>
        <w:pStyle w:val="biolockcaption-gambar"/>
      </w:pPr>
      <w:r w:rsidRPr="00857C41">
        <w:t>Figure 1. Recapitulation of Critical Thinking Results of Experimental Class (X1)</w:t>
      </w:r>
    </w:p>
    <w:p w:rsidR="006E75D7" w:rsidRDefault="00857C41" w:rsidP="006E75D7">
      <w:pPr>
        <w:pStyle w:val="biolockisi"/>
      </w:pPr>
      <w:r w:rsidRPr="00857C41">
        <w:t>The image above shows a comparison of the critical thinking ability scores of students in the experimental class based on the pretest and posttest scores.</w:t>
      </w:r>
    </w:p>
    <w:p w:rsidR="006E75D7" w:rsidRDefault="006E75D7" w:rsidP="006E75D7">
      <w:pPr>
        <w:pStyle w:val="biolockisi"/>
        <w:ind w:firstLine="0"/>
        <w:jc w:val="center"/>
      </w:pPr>
      <w:r w:rsidRPr="006E75D7">
        <w:rPr>
          <w:noProof/>
        </w:rPr>
        <w:drawing>
          <wp:inline distT="0" distB="0" distL="0" distR="0" wp14:anchorId="50348BCD" wp14:editId="5F8D2585">
            <wp:extent cx="3771002" cy="175260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94972" cy="1763740"/>
                    </a:xfrm>
                    <a:prstGeom prst="rect">
                      <a:avLst/>
                    </a:prstGeom>
                  </pic:spPr>
                </pic:pic>
              </a:graphicData>
            </a:graphic>
          </wp:inline>
        </w:drawing>
      </w:r>
    </w:p>
    <w:p w:rsidR="006E75D7" w:rsidRDefault="00857C41" w:rsidP="006E75D7">
      <w:pPr>
        <w:pStyle w:val="biolockcaption-gambar"/>
      </w:pPr>
      <w:r w:rsidRPr="00857C41">
        <w:t>Figure 2. Recapitulation of Critical Thinking Results of Control Class (X2)</w:t>
      </w:r>
    </w:p>
    <w:p w:rsidR="006E75D7" w:rsidRDefault="00857C41" w:rsidP="006E75D7">
      <w:pPr>
        <w:pStyle w:val="biolockisi"/>
      </w:pPr>
      <w:r w:rsidRPr="00857C41">
        <w:lastRenderedPageBreak/>
        <w:t>The image above shows a comparison of the critical thinking ability scores of students in the control class based on the pretest and posttest scores.</w:t>
      </w:r>
    </w:p>
    <w:p w:rsidR="006E75D7" w:rsidRDefault="00857C41" w:rsidP="006E75D7">
      <w:pPr>
        <w:pStyle w:val="biolockcaption-table"/>
      </w:pPr>
      <w:r w:rsidRPr="00857C41">
        <w:t>Table 2. Normality Test of Critical Thinking Ability</w:t>
      </w:r>
    </w:p>
    <w:tbl>
      <w:tblPr>
        <w:tblStyle w:val="TableGrid"/>
        <w:tblW w:w="5000" w:type="pct"/>
        <w:tblLook w:val="04A0" w:firstRow="1" w:lastRow="0" w:firstColumn="1" w:lastColumn="0" w:noHBand="0" w:noVBand="1"/>
      </w:tblPr>
      <w:tblGrid>
        <w:gridCol w:w="1639"/>
        <w:gridCol w:w="922"/>
        <w:gridCol w:w="1203"/>
        <w:gridCol w:w="662"/>
        <w:gridCol w:w="1134"/>
        <w:gridCol w:w="1203"/>
        <w:gridCol w:w="1102"/>
        <w:gridCol w:w="1152"/>
      </w:tblGrid>
      <w:tr w:rsidR="006E75D7" w:rsidRPr="006E75D7" w:rsidTr="006E75D7">
        <w:tc>
          <w:tcPr>
            <w:tcW w:w="5000" w:type="pct"/>
            <w:gridSpan w:val="8"/>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b/>
                <w:bCs/>
                <w:color w:val="000000"/>
                <w:sz w:val="20"/>
                <w:szCs w:val="20"/>
                <w:lang w:val="id-ID" w:eastAsia="id-ID"/>
              </w:rPr>
              <w:t>Tests of Normality</w:t>
            </w:r>
          </w:p>
        </w:tc>
      </w:tr>
      <w:tr w:rsidR="006E75D7" w:rsidRPr="006E75D7" w:rsidTr="006E75D7">
        <w:tc>
          <w:tcPr>
            <w:tcW w:w="1420" w:type="pct"/>
            <w:gridSpan w:val="2"/>
            <w:vMerge w:val="restart"/>
            <w:hideMark/>
          </w:tcPr>
          <w:p w:rsidR="006E75D7" w:rsidRPr="006E75D7" w:rsidRDefault="006E75D7" w:rsidP="006E75D7">
            <w:pPr>
              <w:rPr>
                <w:rFonts w:ascii="Times New Roman" w:eastAsia="Times New Roman" w:hAnsi="Times New Roman" w:cs="Times New Roman"/>
                <w:sz w:val="24"/>
                <w:szCs w:val="24"/>
                <w:lang w:val="id-ID" w:eastAsia="id-ID"/>
              </w:rPr>
            </w:pPr>
          </w:p>
        </w:tc>
        <w:tc>
          <w:tcPr>
            <w:tcW w:w="1663" w:type="pct"/>
            <w:gridSpan w:val="3"/>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Kolmogorov-Smirnov</w:t>
            </w:r>
            <w:r w:rsidRPr="006E75D7">
              <w:rPr>
                <w:rFonts w:ascii="Times New Roman" w:eastAsia="Times New Roman" w:hAnsi="Times New Roman" w:cs="Times New Roman"/>
                <w:color w:val="000000"/>
                <w:sz w:val="20"/>
                <w:szCs w:val="20"/>
                <w:vertAlign w:val="superscript"/>
                <w:lang w:val="id-ID" w:eastAsia="id-ID"/>
              </w:rPr>
              <w:t>a</w:t>
            </w:r>
          </w:p>
        </w:tc>
        <w:tc>
          <w:tcPr>
            <w:tcW w:w="1917" w:type="pct"/>
            <w:gridSpan w:val="3"/>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Shapiro-Wilk</w:t>
            </w:r>
          </w:p>
        </w:tc>
      </w:tr>
      <w:tr w:rsidR="006E75D7" w:rsidRPr="006E75D7" w:rsidTr="006E75D7">
        <w:tc>
          <w:tcPr>
            <w:tcW w:w="1420" w:type="pct"/>
            <w:gridSpan w:val="2"/>
            <w:vMerge/>
            <w:hideMark/>
          </w:tcPr>
          <w:p w:rsidR="006E75D7" w:rsidRPr="006E75D7" w:rsidRDefault="006E75D7" w:rsidP="006E75D7">
            <w:pPr>
              <w:rPr>
                <w:rFonts w:ascii="Times New Roman" w:eastAsia="Times New Roman" w:hAnsi="Times New Roman" w:cs="Times New Roman"/>
                <w:sz w:val="24"/>
                <w:szCs w:val="24"/>
                <w:lang w:val="id-ID" w:eastAsia="id-ID"/>
              </w:rPr>
            </w:pPr>
          </w:p>
        </w:tc>
        <w:tc>
          <w:tcPr>
            <w:tcW w:w="667"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Statistic</w:t>
            </w:r>
          </w:p>
        </w:tc>
        <w:tc>
          <w:tcPr>
            <w:tcW w:w="367"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df</w:t>
            </w:r>
          </w:p>
        </w:tc>
        <w:tc>
          <w:tcPr>
            <w:tcW w:w="629"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Sig.</w:t>
            </w:r>
          </w:p>
        </w:tc>
        <w:tc>
          <w:tcPr>
            <w:tcW w:w="667"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Statistic</w:t>
            </w:r>
          </w:p>
        </w:tc>
        <w:tc>
          <w:tcPr>
            <w:tcW w:w="610"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df</w:t>
            </w:r>
          </w:p>
        </w:tc>
        <w:tc>
          <w:tcPr>
            <w:tcW w:w="639"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Sig.</w:t>
            </w:r>
          </w:p>
        </w:tc>
      </w:tr>
      <w:tr w:rsidR="006E75D7" w:rsidRPr="006E75D7" w:rsidTr="006E75D7">
        <w:tc>
          <w:tcPr>
            <w:tcW w:w="909" w:type="pct"/>
            <w:vMerge w:val="restar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Eksperimen</w:t>
            </w:r>
          </w:p>
        </w:tc>
        <w:tc>
          <w:tcPr>
            <w:tcW w:w="511"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Pret</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.103</w:t>
            </w:r>
          </w:p>
        </w:tc>
        <w:tc>
          <w:tcPr>
            <w:tcW w:w="3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2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.200</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.973</w:t>
            </w:r>
          </w:p>
        </w:tc>
        <w:tc>
          <w:tcPr>
            <w:tcW w:w="610"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3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0,817</w:t>
            </w:r>
          </w:p>
        </w:tc>
      </w:tr>
      <w:tr w:rsidR="006E75D7" w:rsidRPr="006E75D7" w:rsidTr="006E75D7">
        <w:tc>
          <w:tcPr>
            <w:tcW w:w="909" w:type="pct"/>
            <w:vMerge/>
            <w:hideMark/>
          </w:tcPr>
          <w:p w:rsidR="006E75D7" w:rsidRPr="006E75D7" w:rsidRDefault="006E75D7" w:rsidP="006E75D7">
            <w:pPr>
              <w:rPr>
                <w:rFonts w:ascii="Times New Roman" w:eastAsia="Times New Roman" w:hAnsi="Times New Roman" w:cs="Times New Roman"/>
                <w:sz w:val="24"/>
                <w:szCs w:val="24"/>
                <w:lang w:val="id-ID" w:eastAsia="id-ID"/>
              </w:rPr>
            </w:pPr>
          </w:p>
        </w:tc>
        <w:tc>
          <w:tcPr>
            <w:tcW w:w="511"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Post</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.139</w:t>
            </w:r>
          </w:p>
        </w:tc>
        <w:tc>
          <w:tcPr>
            <w:tcW w:w="3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2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.200</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.955</w:t>
            </w:r>
          </w:p>
        </w:tc>
        <w:tc>
          <w:tcPr>
            <w:tcW w:w="610"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3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0,444</w:t>
            </w:r>
          </w:p>
        </w:tc>
      </w:tr>
      <w:tr w:rsidR="006E75D7" w:rsidRPr="006E75D7" w:rsidTr="006E75D7">
        <w:tc>
          <w:tcPr>
            <w:tcW w:w="909" w:type="pct"/>
            <w:vMerge w:val="restar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Kontrol</w:t>
            </w:r>
          </w:p>
        </w:tc>
        <w:tc>
          <w:tcPr>
            <w:tcW w:w="511"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Pret</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.222</w:t>
            </w:r>
          </w:p>
        </w:tc>
        <w:tc>
          <w:tcPr>
            <w:tcW w:w="3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2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.011</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.905</w:t>
            </w:r>
          </w:p>
        </w:tc>
        <w:tc>
          <w:tcPr>
            <w:tcW w:w="610"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3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0,051</w:t>
            </w:r>
          </w:p>
        </w:tc>
      </w:tr>
      <w:tr w:rsidR="006E75D7" w:rsidRPr="006E75D7" w:rsidTr="006E75D7">
        <w:tc>
          <w:tcPr>
            <w:tcW w:w="909" w:type="pct"/>
            <w:vMerge/>
            <w:hideMark/>
          </w:tcPr>
          <w:p w:rsidR="006E75D7" w:rsidRPr="006E75D7" w:rsidRDefault="006E75D7" w:rsidP="006E75D7">
            <w:pPr>
              <w:rPr>
                <w:rFonts w:ascii="Times New Roman" w:eastAsia="Times New Roman" w:hAnsi="Times New Roman" w:cs="Times New Roman"/>
                <w:sz w:val="24"/>
                <w:szCs w:val="24"/>
                <w:lang w:val="id-ID" w:eastAsia="id-ID"/>
              </w:rPr>
            </w:pPr>
          </w:p>
        </w:tc>
        <w:tc>
          <w:tcPr>
            <w:tcW w:w="511" w:type="pct"/>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Post</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.161</w:t>
            </w:r>
          </w:p>
        </w:tc>
        <w:tc>
          <w:tcPr>
            <w:tcW w:w="3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2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.183</w:t>
            </w:r>
          </w:p>
        </w:tc>
        <w:tc>
          <w:tcPr>
            <w:tcW w:w="667"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.933</w:t>
            </w:r>
          </w:p>
        </w:tc>
        <w:tc>
          <w:tcPr>
            <w:tcW w:w="610"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20</w:t>
            </w:r>
          </w:p>
        </w:tc>
        <w:tc>
          <w:tcPr>
            <w:tcW w:w="639" w:type="pct"/>
            <w:hideMark/>
          </w:tcPr>
          <w:p w:rsidR="006E75D7" w:rsidRPr="006E75D7" w:rsidRDefault="006E75D7" w:rsidP="006E75D7">
            <w:pPr>
              <w:ind w:left="62" w:right="62"/>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0,176</w:t>
            </w:r>
          </w:p>
        </w:tc>
      </w:tr>
      <w:tr w:rsidR="006E75D7" w:rsidRPr="006E75D7" w:rsidTr="006E75D7">
        <w:tc>
          <w:tcPr>
            <w:tcW w:w="4361" w:type="pct"/>
            <w:gridSpan w:val="7"/>
            <w:hideMark/>
          </w:tcPr>
          <w:p w:rsidR="006E75D7" w:rsidRPr="006E75D7" w:rsidRDefault="006E75D7" w:rsidP="006E75D7">
            <w:pPr>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202124"/>
                <w:sz w:val="20"/>
                <w:szCs w:val="20"/>
                <w:shd w:val="clear" w:color="auto" w:fill="FFFFFF"/>
                <w:lang w:val="id-ID" w:eastAsia="id-ID"/>
              </w:rPr>
              <w:t>Σ</w:t>
            </w:r>
            <w:r w:rsidRPr="006E75D7">
              <w:rPr>
                <w:rFonts w:ascii="Times New Roman" w:eastAsia="Times New Roman" w:hAnsi="Times New Roman" w:cs="Times New Roman"/>
                <w:color w:val="000000"/>
                <w:sz w:val="20"/>
                <w:szCs w:val="20"/>
                <w:lang w:val="id-ID" w:eastAsia="id-ID"/>
              </w:rPr>
              <w:t>Sig</w:t>
            </w:r>
          </w:p>
        </w:tc>
        <w:tc>
          <w:tcPr>
            <w:tcW w:w="639" w:type="pct"/>
            <w:hideMark/>
          </w:tcPr>
          <w:p w:rsidR="006E75D7" w:rsidRPr="006E75D7" w:rsidRDefault="006E75D7" w:rsidP="006E75D7">
            <w:pPr>
              <w:jc w:val="right"/>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0,372</w:t>
            </w:r>
          </w:p>
        </w:tc>
      </w:tr>
    </w:tbl>
    <w:p w:rsidR="006E75D7" w:rsidRDefault="006E75D7" w:rsidP="006E75D7">
      <w:pPr>
        <w:pStyle w:val="biolockisi"/>
      </w:pPr>
    </w:p>
    <w:p w:rsidR="006E75D7" w:rsidRDefault="00857C41" w:rsidP="006E75D7">
      <w:pPr>
        <w:pStyle w:val="biolockisi"/>
      </w:pPr>
      <w:r w:rsidRPr="00857C41">
        <w:t>The normality test table for the results of the critical thinking ability test using the Kolmogorov-Smirnov test found that the experimental class and the control class had a value of 0.372 greater than 0.05 (0.372 &gt; 0.05). This indicates that both data are normally distributed.</w:t>
      </w:r>
    </w:p>
    <w:p w:rsidR="006E75D7" w:rsidRDefault="00857C41" w:rsidP="006E75D7">
      <w:pPr>
        <w:pStyle w:val="biolockcaption-table"/>
      </w:pPr>
      <w:r w:rsidRPr="00857C41">
        <w:t>Table 3. Homogeneity Test of Critical Thinking Ability</w:t>
      </w:r>
    </w:p>
    <w:tbl>
      <w:tblPr>
        <w:tblStyle w:val="TableGrid"/>
        <w:tblW w:w="5000" w:type="pct"/>
        <w:tblLook w:val="04A0" w:firstRow="1" w:lastRow="0" w:firstColumn="1" w:lastColumn="0" w:noHBand="0" w:noVBand="1"/>
      </w:tblPr>
      <w:tblGrid>
        <w:gridCol w:w="2502"/>
        <w:gridCol w:w="1205"/>
        <w:gridCol w:w="743"/>
        <w:gridCol w:w="1077"/>
        <w:gridCol w:w="3490"/>
      </w:tblGrid>
      <w:tr w:rsidR="006E75D7" w:rsidRPr="006E75D7" w:rsidTr="006E75D7">
        <w:tc>
          <w:tcPr>
            <w:tcW w:w="5000" w:type="pct"/>
            <w:gridSpan w:val="5"/>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Test of Homogeneity of Variances</w:t>
            </w:r>
          </w:p>
        </w:tc>
      </w:tr>
      <w:tr w:rsidR="006E75D7" w:rsidRPr="006E75D7" w:rsidTr="006E75D7">
        <w:tc>
          <w:tcPr>
            <w:tcW w:w="5000" w:type="pct"/>
            <w:gridSpan w:val="5"/>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Berpikir Kritis</w:t>
            </w:r>
          </w:p>
        </w:tc>
      </w:tr>
      <w:tr w:rsidR="006E75D7" w:rsidRPr="006E75D7" w:rsidTr="006E75D7">
        <w:tc>
          <w:tcPr>
            <w:tcW w:w="1388"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Nilai</w:t>
            </w:r>
          </w:p>
        </w:tc>
        <w:tc>
          <w:tcPr>
            <w:tcW w:w="668"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Levene Statistic</w:t>
            </w:r>
          </w:p>
        </w:tc>
        <w:tc>
          <w:tcPr>
            <w:tcW w:w="412"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df1</w:t>
            </w:r>
          </w:p>
        </w:tc>
        <w:tc>
          <w:tcPr>
            <w:tcW w:w="596"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df2</w:t>
            </w:r>
          </w:p>
        </w:tc>
        <w:tc>
          <w:tcPr>
            <w:tcW w:w="1935"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Sig.</w:t>
            </w:r>
          </w:p>
        </w:tc>
      </w:tr>
      <w:tr w:rsidR="006E75D7" w:rsidRPr="006E75D7" w:rsidTr="006E75D7">
        <w:tc>
          <w:tcPr>
            <w:tcW w:w="1388"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Pretest</w:t>
            </w:r>
          </w:p>
        </w:tc>
        <w:tc>
          <w:tcPr>
            <w:tcW w:w="668"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1.087</w:t>
            </w:r>
          </w:p>
        </w:tc>
        <w:tc>
          <w:tcPr>
            <w:tcW w:w="412"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1</w:t>
            </w:r>
          </w:p>
        </w:tc>
        <w:tc>
          <w:tcPr>
            <w:tcW w:w="596"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40</w:t>
            </w:r>
          </w:p>
        </w:tc>
        <w:tc>
          <w:tcPr>
            <w:tcW w:w="1935"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0,303</w:t>
            </w:r>
          </w:p>
        </w:tc>
      </w:tr>
      <w:tr w:rsidR="006E75D7" w:rsidRPr="006E75D7" w:rsidTr="006E75D7">
        <w:tc>
          <w:tcPr>
            <w:tcW w:w="1388"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Postest</w:t>
            </w:r>
          </w:p>
        </w:tc>
        <w:tc>
          <w:tcPr>
            <w:tcW w:w="668"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2.725</w:t>
            </w:r>
          </w:p>
        </w:tc>
        <w:tc>
          <w:tcPr>
            <w:tcW w:w="412"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6</w:t>
            </w:r>
          </w:p>
        </w:tc>
        <w:tc>
          <w:tcPr>
            <w:tcW w:w="596"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33</w:t>
            </w:r>
          </w:p>
        </w:tc>
        <w:tc>
          <w:tcPr>
            <w:tcW w:w="1935"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0,029</w:t>
            </w:r>
          </w:p>
        </w:tc>
      </w:tr>
      <w:tr w:rsidR="006E75D7" w:rsidRPr="006E75D7" w:rsidTr="006E75D7">
        <w:tc>
          <w:tcPr>
            <w:tcW w:w="3065" w:type="pct"/>
            <w:gridSpan w:val="4"/>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ΣSig</w:t>
            </w:r>
          </w:p>
        </w:tc>
        <w:tc>
          <w:tcPr>
            <w:tcW w:w="1935" w:type="pct"/>
            <w:hideMark/>
          </w:tcPr>
          <w:p w:rsidR="006E75D7" w:rsidRPr="006E75D7" w:rsidRDefault="006E75D7" w:rsidP="006E75D7">
            <w:pPr>
              <w:spacing w:before="100" w:beforeAutospacing="1"/>
              <w:ind w:left="62" w:right="62"/>
              <w:rPr>
                <w:rFonts w:ascii="Times New Roman" w:eastAsia="Times New Roman" w:hAnsi="Times New Roman" w:cs="Times New Roman"/>
                <w:sz w:val="24"/>
                <w:szCs w:val="24"/>
                <w:lang w:val="id-ID" w:eastAsia="id-ID"/>
              </w:rPr>
            </w:pPr>
            <w:r w:rsidRPr="006E75D7">
              <w:rPr>
                <w:rFonts w:ascii="Times New Roman" w:eastAsia="Times New Roman" w:hAnsi="Times New Roman" w:cs="Times New Roman"/>
                <w:color w:val="000000"/>
                <w:sz w:val="20"/>
                <w:szCs w:val="20"/>
                <w:lang w:val="id-ID" w:eastAsia="id-ID"/>
              </w:rPr>
              <w:t>0,372</w:t>
            </w:r>
          </w:p>
        </w:tc>
      </w:tr>
    </w:tbl>
    <w:p w:rsidR="006E75D7" w:rsidRDefault="006E75D7" w:rsidP="006E75D7">
      <w:pPr>
        <w:pStyle w:val="biolockisi"/>
      </w:pPr>
    </w:p>
    <w:p w:rsidR="006E75D7" w:rsidRDefault="00857C41" w:rsidP="006E75D7">
      <w:pPr>
        <w:pStyle w:val="biolockisi"/>
      </w:pPr>
      <w:r w:rsidRPr="00857C41">
        <w:t>After the normality test, the next step was to conduct a homogeneity test. Based on Table 3, the homogeneity test results using the Leave Statistic test in SPSS 24 obtained a result of 0.372, which means it is greater than 0.05 (0.372 &gt; 0.05). Therefore, it can be concluded that there is a significant difference in the results of the critical thinking test in the experimental class and the control class.</w:t>
      </w:r>
    </w:p>
    <w:p w:rsidR="00857C41" w:rsidRDefault="00857C41" w:rsidP="00857C41">
      <w:pPr>
        <w:pStyle w:val="biolockcaption-table"/>
      </w:pPr>
      <w:r w:rsidRPr="00857C41">
        <w:t>Table 4. Hypothesis Test of Critical Thinking Ability Test</w:t>
      </w:r>
    </w:p>
    <w:tbl>
      <w:tblPr>
        <w:tblStyle w:val="TableGrid"/>
        <w:tblW w:w="5000" w:type="pct"/>
        <w:tblLook w:val="04A0" w:firstRow="1" w:lastRow="0" w:firstColumn="1" w:lastColumn="0" w:noHBand="0" w:noVBand="1"/>
      </w:tblPr>
      <w:tblGrid>
        <w:gridCol w:w="1555"/>
        <w:gridCol w:w="1899"/>
        <w:gridCol w:w="683"/>
        <w:gridCol w:w="1738"/>
        <w:gridCol w:w="873"/>
        <w:gridCol w:w="2269"/>
      </w:tblGrid>
      <w:tr w:rsidR="00857C41" w:rsidRPr="00857C41" w:rsidTr="00857C41">
        <w:tc>
          <w:tcPr>
            <w:tcW w:w="5000" w:type="pct"/>
            <w:gridSpan w:val="6"/>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ANOVA</w:t>
            </w:r>
          </w:p>
        </w:tc>
      </w:tr>
      <w:tr w:rsidR="00857C41" w:rsidRPr="00857C41" w:rsidTr="00857C41">
        <w:tc>
          <w:tcPr>
            <w:tcW w:w="862"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Model</w:t>
            </w:r>
          </w:p>
        </w:tc>
        <w:tc>
          <w:tcPr>
            <w:tcW w:w="1053"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Sum of Squares</w:t>
            </w:r>
          </w:p>
        </w:tc>
        <w:tc>
          <w:tcPr>
            <w:tcW w:w="37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df</w:t>
            </w:r>
          </w:p>
        </w:tc>
        <w:tc>
          <w:tcPr>
            <w:tcW w:w="96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Mean Square</w:t>
            </w:r>
          </w:p>
        </w:tc>
        <w:tc>
          <w:tcPr>
            <w:tcW w:w="48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F</w:t>
            </w:r>
          </w:p>
        </w:tc>
        <w:tc>
          <w:tcPr>
            <w:tcW w:w="125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Sig.</w:t>
            </w:r>
          </w:p>
        </w:tc>
      </w:tr>
      <w:tr w:rsidR="00857C41" w:rsidRPr="00857C41" w:rsidTr="00857C41">
        <w:tc>
          <w:tcPr>
            <w:tcW w:w="862"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Regression</w:t>
            </w:r>
          </w:p>
        </w:tc>
        <w:tc>
          <w:tcPr>
            <w:tcW w:w="1053"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3.204</w:t>
            </w:r>
          </w:p>
        </w:tc>
        <w:tc>
          <w:tcPr>
            <w:tcW w:w="37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w:t>
            </w:r>
          </w:p>
        </w:tc>
        <w:tc>
          <w:tcPr>
            <w:tcW w:w="96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3.204</w:t>
            </w:r>
          </w:p>
        </w:tc>
        <w:tc>
          <w:tcPr>
            <w:tcW w:w="48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.709</w:t>
            </w:r>
          </w:p>
        </w:tc>
        <w:tc>
          <w:tcPr>
            <w:tcW w:w="125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.014</w:t>
            </w:r>
          </w:p>
        </w:tc>
      </w:tr>
      <w:tr w:rsidR="00857C41" w:rsidRPr="00857C41" w:rsidTr="00857C41">
        <w:tc>
          <w:tcPr>
            <w:tcW w:w="862"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Residual</w:t>
            </w:r>
          </w:p>
        </w:tc>
        <w:tc>
          <w:tcPr>
            <w:tcW w:w="1053"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81.346</w:t>
            </w:r>
          </w:p>
        </w:tc>
        <w:tc>
          <w:tcPr>
            <w:tcW w:w="37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18</w:t>
            </w:r>
          </w:p>
        </w:tc>
        <w:tc>
          <w:tcPr>
            <w:tcW w:w="96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4.519</w:t>
            </w:r>
          </w:p>
        </w:tc>
        <w:tc>
          <w:tcPr>
            <w:tcW w:w="48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p>
        </w:tc>
        <w:tc>
          <w:tcPr>
            <w:tcW w:w="125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p>
        </w:tc>
      </w:tr>
      <w:tr w:rsidR="00857C41" w:rsidRPr="00857C41" w:rsidTr="00857C41">
        <w:tc>
          <w:tcPr>
            <w:tcW w:w="862"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Total</w:t>
            </w:r>
          </w:p>
        </w:tc>
        <w:tc>
          <w:tcPr>
            <w:tcW w:w="1053"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84.550</w:t>
            </w:r>
          </w:p>
        </w:tc>
        <w:tc>
          <w:tcPr>
            <w:tcW w:w="37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19</w:t>
            </w:r>
          </w:p>
        </w:tc>
        <w:tc>
          <w:tcPr>
            <w:tcW w:w="96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p>
        </w:tc>
        <w:tc>
          <w:tcPr>
            <w:tcW w:w="484"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p>
        </w:tc>
        <w:tc>
          <w:tcPr>
            <w:tcW w:w="1259" w:type="pct"/>
            <w:hideMark/>
          </w:tcPr>
          <w:p w:rsidR="00857C41" w:rsidRPr="00857C41" w:rsidRDefault="00857C41" w:rsidP="00857C41">
            <w:pPr>
              <w:spacing w:before="100" w:beforeAutospacing="1"/>
              <w:ind w:left="62" w:right="62"/>
              <w:rPr>
                <w:rFonts w:ascii="Times New Roman" w:eastAsia="Times New Roman" w:hAnsi="Times New Roman" w:cs="Times New Roman"/>
                <w:sz w:val="24"/>
                <w:szCs w:val="24"/>
                <w:lang w:val="id-ID" w:eastAsia="id-ID"/>
              </w:rPr>
            </w:pPr>
          </w:p>
        </w:tc>
      </w:tr>
    </w:tbl>
    <w:p w:rsidR="00857C41" w:rsidRDefault="00857C41" w:rsidP="00857C41">
      <w:pPr>
        <w:pStyle w:val="biolockisi"/>
      </w:pPr>
    </w:p>
    <w:p w:rsidR="00857C41" w:rsidRDefault="00857C41" w:rsidP="00857C41">
      <w:pPr>
        <w:pStyle w:val="biolockisi"/>
      </w:pPr>
      <w:r w:rsidRPr="00857C41">
        <w:t>Based on Table 4, the results of the hypothesis test analysis using SPSS 24 show that the pre-posttest significance level for the experimental class and the control class was &lt;0.05, namely 0.014. This means that there is an influence of the use of interactive multimedia-based biology learning media on students' critical thinking skills at SMAN 10 North Bengkulu.</w:t>
      </w:r>
    </w:p>
    <w:p w:rsidR="00857C41" w:rsidRDefault="00857C41" w:rsidP="00857C41">
      <w:pPr>
        <w:pStyle w:val="biolocksubbab"/>
      </w:pPr>
      <w:r w:rsidRPr="00857C41">
        <w:t>Student Learning Motivation Results</w:t>
      </w:r>
    </w:p>
    <w:p w:rsidR="00857C41" w:rsidRDefault="00857C41" w:rsidP="00857C41">
      <w:pPr>
        <w:pStyle w:val="biolockisi"/>
      </w:pPr>
      <w:r>
        <w:t>Based on the research results, the learning motivation scores of 10th-grade students were as follows:</w:t>
      </w:r>
    </w:p>
    <w:p w:rsidR="00857C41" w:rsidRDefault="00857C41" w:rsidP="00857C41">
      <w:pPr>
        <w:pStyle w:val="biolockisi"/>
      </w:pPr>
      <w:r>
        <w:t>The pre-test and post-test results in this study were used to determine the learning motivation of the students selected as research subjects. The pre-test and post-test results were then summarized to determine the average scores and overall percentages for both classes, as shown in the following table:</w:t>
      </w:r>
    </w:p>
    <w:p w:rsidR="00857C41" w:rsidRDefault="00857C41" w:rsidP="00857C41">
      <w:pPr>
        <w:pStyle w:val="biolockisi"/>
      </w:pPr>
    </w:p>
    <w:p w:rsidR="00857C41" w:rsidRDefault="00857C41" w:rsidP="00857C41">
      <w:pPr>
        <w:pStyle w:val="biolockisi"/>
      </w:pPr>
    </w:p>
    <w:p w:rsidR="00857C41" w:rsidRDefault="00857C41" w:rsidP="00857C41">
      <w:pPr>
        <w:pStyle w:val="biolockisi"/>
      </w:pPr>
    </w:p>
    <w:p w:rsidR="00857C41" w:rsidRDefault="00857C41" w:rsidP="00857C41">
      <w:pPr>
        <w:pStyle w:val="biolockcaption-table"/>
      </w:pPr>
      <w:proofErr w:type="spellStart"/>
      <w:r w:rsidRPr="00857C41">
        <w:t>Tabel</w:t>
      </w:r>
      <w:proofErr w:type="spellEnd"/>
      <w:r w:rsidRPr="00857C41">
        <w:t xml:space="preserve"> 5. </w:t>
      </w:r>
      <w:proofErr w:type="spellStart"/>
      <w:r w:rsidRPr="00857C41">
        <w:t>Perhitungan</w:t>
      </w:r>
      <w:proofErr w:type="spellEnd"/>
      <w:r w:rsidRPr="00857C41">
        <w:t xml:space="preserve"> Pre-test </w:t>
      </w:r>
      <w:proofErr w:type="spellStart"/>
      <w:r w:rsidRPr="00857C41">
        <w:t>dan</w:t>
      </w:r>
      <w:proofErr w:type="spellEnd"/>
      <w:r w:rsidRPr="00857C41">
        <w:t xml:space="preserve"> Post-test </w:t>
      </w:r>
      <w:proofErr w:type="spellStart"/>
      <w:r w:rsidRPr="00857C41">
        <w:t>Motivasi</w:t>
      </w:r>
      <w:proofErr w:type="spellEnd"/>
      <w:r w:rsidRPr="00857C41">
        <w:t xml:space="preserve"> </w:t>
      </w:r>
      <w:proofErr w:type="spellStart"/>
      <w:r w:rsidRPr="00857C41">
        <w:t>belajar</w:t>
      </w:r>
      <w:proofErr w:type="spellEnd"/>
    </w:p>
    <w:tbl>
      <w:tblPr>
        <w:tblStyle w:val="TableGrid"/>
        <w:tblW w:w="5000" w:type="pct"/>
        <w:tblLook w:val="04A0" w:firstRow="1" w:lastRow="0" w:firstColumn="1" w:lastColumn="0" w:noHBand="0" w:noVBand="1"/>
      </w:tblPr>
      <w:tblGrid>
        <w:gridCol w:w="1263"/>
        <w:gridCol w:w="3222"/>
        <w:gridCol w:w="898"/>
        <w:gridCol w:w="761"/>
        <w:gridCol w:w="2873"/>
      </w:tblGrid>
      <w:tr w:rsidR="00857C41" w:rsidRPr="00857C41" w:rsidTr="00857C41">
        <w:tc>
          <w:tcPr>
            <w:tcW w:w="706" w:type="pct"/>
            <w:vMerge w:val="restart"/>
            <w:hideMark/>
          </w:tcPr>
          <w:p w:rsidR="00857C41" w:rsidRPr="00857C41" w:rsidRDefault="00857C41" w:rsidP="00857C41">
            <w:pPr>
              <w:jc w:val="center"/>
              <w:rPr>
                <w:rFonts w:ascii="Times New Roman" w:eastAsia="Times New Roman" w:hAnsi="Times New Roman" w:cs="Times New Roman"/>
                <w:sz w:val="24"/>
                <w:szCs w:val="24"/>
                <w:lang w:val="id-ID" w:eastAsia="id-ID"/>
              </w:rPr>
            </w:pPr>
            <w:proofErr w:type="spellStart"/>
            <w:r w:rsidRPr="00857C41">
              <w:rPr>
                <w:rFonts w:ascii="Times New Roman" w:eastAsia="Times New Roman" w:hAnsi="Times New Roman" w:cs="Times New Roman"/>
                <w:sz w:val="20"/>
                <w:szCs w:val="20"/>
                <w:lang w:eastAsia="id-ID"/>
              </w:rPr>
              <w:t>Nilai</w:t>
            </w:r>
            <w:proofErr w:type="spellEnd"/>
          </w:p>
        </w:tc>
        <w:tc>
          <w:tcPr>
            <w:tcW w:w="2295" w:type="pct"/>
            <w:gridSpan w:val="2"/>
            <w:hideMark/>
          </w:tcPr>
          <w:p w:rsidR="00857C41" w:rsidRPr="00857C41" w:rsidRDefault="00857C41" w:rsidP="00857C41">
            <w:pPr>
              <w:jc w:val="center"/>
              <w:rPr>
                <w:rFonts w:ascii="Times New Roman" w:eastAsia="Times New Roman" w:hAnsi="Times New Roman" w:cs="Times New Roman"/>
                <w:sz w:val="24"/>
                <w:szCs w:val="24"/>
                <w:lang w:val="id-ID" w:eastAsia="id-ID"/>
              </w:rPr>
            </w:pPr>
            <w:proofErr w:type="spellStart"/>
            <w:r w:rsidRPr="00857C41">
              <w:rPr>
                <w:rFonts w:ascii="Times New Roman" w:eastAsia="Times New Roman" w:hAnsi="Times New Roman" w:cs="Times New Roman"/>
                <w:sz w:val="20"/>
                <w:szCs w:val="20"/>
                <w:lang w:eastAsia="id-ID"/>
              </w:rPr>
              <w:t>Kelas</w:t>
            </w:r>
            <w:proofErr w:type="spellEnd"/>
            <w:r w:rsidRPr="00857C41">
              <w:rPr>
                <w:rFonts w:ascii="Times New Roman" w:eastAsia="Times New Roman" w:hAnsi="Times New Roman" w:cs="Times New Roman"/>
                <w:sz w:val="20"/>
                <w:szCs w:val="20"/>
                <w:lang w:eastAsia="id-ID"/>
              </w:rPr>
              <w:t xml:space="preserve"> X1</w:t>
            </w:r>
          </w:p>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w:t>
            </w:r>
            <w:proofErr w:type="spellStart"/>
            <w:r w:rsidRPr="00857C41">
              <w:rPr>
                <w:rFonts w:ascii="Times New Roman" w:eastAsia="Times New Roman" w:hAnsi="Times New Roman" w:cs="Times New Roman"/>
                <w:sz w:val="20"/>
                <w:szCs w:val="20"/>
                <w:lang w:eastAsia="id-ID"/>
              </w:rPr>
              <w:t>Eksperimen</w:t>
            </w:r>
            <w:proofErr w:type="spellEnd"/>
            <w:r w:rsidRPr="00857C41">
              <w:rPr>
                <w:rFonts w:ascii="Times New Roman" w:eastAsia="Times New Roman" w:hAnsi="Times New Roman" w:cs="Times New Roman"/>
                <w:sz w:val="20"/>
                <w:szCs w:val="20"/>
                <w:lang w:eastAsia="id-ID"/>
              </w:rPr>
              <w:t>)</w:t>
            </w:r>
          </w:p>
        </w:tc>
        <w:tc>
          <w:tcPr>
            <w:tcW w:w="1999" w:type="pct"/>
            <w:gridSpan w:val="2"/>
            <w:hideMark/>
          </w:tcPr>
          <w:p w:rsidR="00857C41" w:rsidRPr="00857C41" w:rsidRDefault="00857C41" w:rsidP="00857C41">
            <w:pPr>
              <w:jc w:val="center"/>
              <w:rPr>
                <w:rFonts w:ascii="Times New Roman" w:eastAsia="Times New Roman" w:hAnsi="Times New Roman" w:cs="Times New Roman"/>
                <w:sz w:val="24"/>
                <w:szCs w:val="24"/>
                <w:lang w:val="id-ID" w:eastAsia="id-ID"/>
              </w:rPr>
            </w:pPr>
            <w:proofErr w:type="spellStart"/>
            <w:r w:rsidRPr="00857C41">
              <w:rPr>
                <w:rFonts w:ascii="Times New Roman" w:eastAsia="Times New Roman" w:hAnsi="Times New Roman" w:cs="Times New Roman"/>
                <w:sz w:val="20"/>
                <w:szCs w:val="20"/>
                <w:lang w:eastAsia="id-ID"/>
              </w:rPr>
              <w:t>Kelas</w:t>
            </w:r>
            <w:proofErr w:type="spellEnd"/>
            <w:r w:rsidRPr="00857C41">
              <w:rPr>
                <w:rFonts w:ascii="Times New Roman" w:eastAsia="Times New Roman" w:hAnsi="Times New Roman" w:cs="Times New Roman"/>
                <w:sz w:val="20"/>
                <w:szCs w:val="20"/>
                <w:lang w:eastAsia="id-ID"/>
              </w:rPr>
              <w:t xml:space="preserve"> X2</w:t>
            </w:r>
          </w:p>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w:t>
            </w:r>
            <w:proofErr w:type="spellStart"/>
            <w:r w:rsidRPr="00857C41">
              <w:rPr>
                <w:rFonts w:ascii="Times New Roman" w:eastAsia="Times New Roman" w:hAnsi="Times New Roman" w:cs="Times New Roman"/>
                <w:sz w:val="20"/>
                <w:szCs w:val="20"/>
                <w:lang w:eastAsia="id-ID"/>
              </w:rPr>
              <w:t>Kontrol</w:t>
            </w:r>
            <w:proofErr w:type="spellEnd"/>
            <w:r w:rsidRPr="00857C41">
              <w:rPr>
                <w:rFonts w:ascii="Times New Roman" w:eastAsia="Times New Roman" w:hAnsi="Times New Roman" w:cs="Times New Roman"/>
                <w:sz w:val="20"/>
                <w:szCs w:val="20"/>
                <w:lang w:eastAsia="id-ID"/>
              </w:rPr>
              <w:t>)</w:t>
            </w:r>
          </w:p>
        </w:tc>
      </w:tr>
      <w:tr w:rsidR="00857C41" w:rsidRPr="00857C41" w:rsidTr="00857C41">
        <w:tc>
          <w:tcPr>
            <w:tcW w:w="706" w:type="pct"/>
            <w:vMerge/>
            <w:hideMark/>
          </w:tcPr>
          <w:p w:rsidR="00857C41" w:rsidRPr="00857C41" w:rsidRDefault="00857C41" w:rsidP="00857C41">
            <w:pPr>
              <w:rPr>
                <w:rFonts w:ascii="Times New Roman" w:eastAsia="Times New Roman" w:hAnsi="Times New Roman" w:cs="Times New Roman"/>
                <w:sz w:val="24"/>
                <w:szCs w:val="24"/>
                <w:lang w:val="id-ID" w:eastAsia="id-ID"/>
              </w:rPr>
            </w:pPr>
          </w:p>
        </w:tc>
        <w:tc>
          <w:tcPr>
            <w:tcW w:w="1792"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Pretest</w:t>
            </w:r>
          </w:p>
        </w:tc>
        <w:tc>
          <w:tcPr>
            <w:tcW w:w="503"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proofErr w:type="spellStart"/>
            <w:r w:rsidRPr="00857C41">
              <w:rPr>
                <w:rFonts w:ascii="Times New Roman" w:eastAsia="Times New Roman" w:hAnsi="Times New Roman" w:cs="Times New Roman"/>
                <w:sz w:val="20"/>
                <w:szCs w:val="20"/>
                <w:lang w:eastAsia="id-ID"/>
              </w:rPr>
              <w:t>Postest</w:t>
            </w:r>
            <w:proofErr w:type="spellEnd"/>
          </w:p>
        </w:tc>
        <w:tc>
          <w:tcPr>
            <w:tcW w:w="401"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Pretest</w:t>
            </w:r>
          </w:p>
        </w:tc>
        <w:tc>
          <w:tcPr>
            <w:tcW w:w="1598"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proofErr w:type="spellStart"/>
            <w:r w:rsidRPr="00857C41">
              <w:rPr>
                <w:rFonts w:ascii="Times New Roman" w:eastAsia="Times New Roman" w:hAnsi="Times New Roman" w:cs="Times New Roman"/>
                <w:sz w:val="20"/>
                <w:szCs w:val="20"/>
                <w:lang w:eastAsia="id-ID"/>
              </w:rPr>
              <w:t>Postest</w:t>
            </w:r>
            <w:proofErr w:type="spellEnd"/>
          </w:p>
        </w:tc>
      </w:tr>
      <w:tr w:rsidR="00857C41" w:rsidRPr="00857C41" w:rsidTr="00857C41">
        <w:tc>
          <w:tcPr>
            <w:tcW w:w="706"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Sum</w:t>
            </w:r>
          </w:p>
        </w:tc>
        <w:tc>
          <w:tcPr>
            <w:tcW w:w="1792"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977</w:t>
            </w:r>
          </w:p>
        </w:tc>
        <w:tc>
          <w:tcPr>
            <w:tcW w:w="503"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1420</w:t>
            </w:r>
          </w:p>
        </w:tc>
        <w:tc>
          <w:tcPr>
            <w:tcW w:w="401"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1119</w:t>
            </w:r>
          </w:p>
        </w:tc>
        <w:tc>
          <w:tcPr>
            <w:tcW w:w="1598"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1095</w:t>
            </w:r>
          </w:p>
        </w:tc>
      </w:tr>
      <w:tr w:rsidR="00857C41" w:rsidRPr="00857C41" w:rsidTr="00857C41">
        <w:tc>
          <w:tcPr>
            <w:tcW w:w="706"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Max</w:t>
            </w:r>
          </w:p>
        </w:tc>
        <w:tc>
          <w:tcPr>
            <w:tcW w:w="1792"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56</w:t>
            </w:r>
          </w:p>
        </w:tc>
        <w:tc>
          <w:tcPr>
            <w:tcW w:w="503"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77</w:t>
            </w:r>
          </w:p>
        </w:tc>
        <w:tc>
          <w:tcPr>
            <w:tcW w:w="401"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57</w:t>
            </w:r>
          </w:p>
        </w:tc>
        <w:tc>
          <w:tcPr>
            <w:tcW w:w="1598"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64</w:t>
            </w:r>
          </w:p>
        </w:tc>
      </w:tr>
      <w:tr w:rsidR="00857C41" w:rsidRPr="00857C41" w:rsidTr="00857C41">
        <w:tc>
          <w:tcPr>
            <w:tcW w:w="706"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Min</w:t>
            </w:r>
          </w:p>
        </w:tc>
        <w:tc>
          <w:tcPr>
            <w:tcW w:w="1792"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43</w:t>
            </w:r>
          </w:p>
        </w:tc>
        <w:tc>
          <w:tcPr>
            <w:tcW w:w="503"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67</w:t>
            </w:r>
          </w:p>
        </w:tc>
        <w:tc>
          <w:tcPr>
            <w:tcW w:w="401"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37</w:t>
            </w:r>
          </w:p>
        </w:tc>
        <w:tc>
          <w:tcPr>
            <w:tcW w:w="1598"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50</w:t>
            </w:r>
          </w:p>
        </w:tc>
      </w:tr>
      <w:tr w:rsidR="00857C41" w:rsidRPr="00857C41" w:rsidTr="00857C41">
        <w:tc>
          <w:tcPr>
            <w:tcW w:w="706" w:type="pct"/>
            <w:hideMark/>
          </w:tcPr>
          <w:p w:rsidR="00857C41" w:rsidRPr="00857C41" w:rsidRDefault="00857C41" w:rsidP="00857C41">
            <w:pPr>
              <w:jc w:val="center"/>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sz w:val="20"/>
                <w:szCs w:val="20"/>
                <w:lang w:eastAsia="id-ID"/>
              </w:rPr>
              <w:t>Σ</w:t>
            </w:r>
          </w:p>
        </w:tc>
        <w:tc>
          <w:tcPr>
            <w:tcW w:w="1792" w:type="pct"/>
            <w:hideMark/>
          </w:tcPr>
          <w:p w:rsidR="00857C41" w:rsidRPr="00857C41" w:rsidRDefault="00857C41" w:rsidP="00857C41">
            <w:pPr>
              <w:jc w:val="center"/>
              <w:rPr>
                <w:rFonts w:ascii="Times New Roman" w:eastAsia="Times New Roman" w:hAnsi="Times New Roman" w:cs="Times New Roman"/>
                <w:sz w:val="24"/>
                <w:szCs w:val="24"/>
                <w:lang w:eastAsia="id-ID"/>
              </w:rPr>
            </w:pPr>
            <w:r w:rsidRPr="00857C41">
              <w:rPr>
                <w:rFonts w:ascii="Times New Roman" w:eastAsia="Times New Roman" w:hAnsi="Times New Roman" w:cs="Times New Roman"/>
                <w:sz w:val="20"/>
                <w:szCs w:val="20"/>
                <w:lang w:eastAsia="id-ID"/>
              </w:rPr>
              <w:t>61,06</w:t>
            </w:r>
          </w:p>
        </w:tc>
        <w:tc>
          <w:tcPr>
            <w:tcW w:w="503" w:type="pct"/>
            <w:hideMark/>
          </w:tcPr>
          <w:p w:rsidR="00857C41" w:rsidRPr="00857C41" w:rsidRDefault="00857C41" w:rsidP="00857C41">
            <w:pPr>
              <w:jc w:val="center"/>
              <w:rPr>
                <w:rFonts w:ascii="Times New Roman" w:eastAsia="Times New Roman" w:hAnsi="Times New Roman" w:cs="Times New Roman"/>
                <w:sz w:val="24"/>
                <w:szCs w:val="24"/>
                <w:lang w:eastAsia="id-ID"/>
              </w:rPr>
            </w:pPr>
            <w:r w:rsidRPr="00857C41">
              <w:rPr>
                <w:rFonts w:ascii="Times New Roman" w:eastAsia="Times New Roman" w:hAnsi="Times New Roman" w:cs="Times New Roman"/>
                <w:sz w:val="20"/>
                <w:szCs w:val="20"/>
                <w:lang w:eastAsia="id-ID"/>
              </w:rPr>
              <w:t>88,75</w:t>
            </w:r>
          </w:p>
        </w:tc>
        <w:tc>
          <w:tcPr>
            <w:tcW w:w="401" w:type="pct"/>
            <w:hideMark/>
          </w:tcPr>
          <w:p w:rsidR="00857C41" w:rsidRPr="00857C41" w:rsidRDefault="00857C41" w:rsidP="00857C41">
            <w:pPr>
              <w:jc w:val="center"/>
              <w:rPr>
                <w:rFonts w:ascii="Times New Roman" w:eastAsia="Times New Roman" w:hAnsi="Times New Roman" w:cs="Times New Roman"/>
                <w:sz w:val="24"/>
                <w:szCs w:val="24"/>
                <w:lang w:eastAsia="id-ID"/>
              </w:rPr>
            </w:pPr>
            <w:r w:rsidRPr="00857C41">
              <w:rPr>
                <w:rFonts w:ascii="Times New Roman" w:eastAsia="Times New Roman" w:hAnsi="Times New Roman" w:cs="Times New Roman"/>
                <w:sz w:val="20"/>
                <w:szCs w:val="20"/>
                <w:lang w:eastAsia="id-ID"/>
              </w:rPr>
              <w:t>63,58</w:t>
            </w:r>
          </w:p>
        </w:tc>
        <w:tc>
          <w:tcPr>
            <w:tcW w:w="1598" w:type="pct"/>
            <w:hideMark/>
          </w:tcPr>
          <w:p w:rsidR="00857C41" w:rsidRPr="00857C41" w:rsidRDefault="00857C41" w:rsidP="00857C41">
            <w:pPr>
              <w:jc w:val="center"/>
              <w:rPr>
                <w:rFonts w:ascii="Times New Roman" w:eastAsia="Times New Roman" w:hAnsi="Times New Roman" w:cs="Times New Roman"/>
                <w:sz w:val="24"/>
                <w:szCs w:val="24"/>
                <w:lang w:eastAsia="id-ID"/>
              </w:rPr>
            </w:pPr>
            <w:r w:rsidRPr="00857C41">
              <w:rPr>
                <w:rFonts w:ascii="Times New Roman" w:eastAsia="Times New Roman" w:hAnsi="Times New Roman" w:cs="Times New Roman"/>
                <w:sz w:val="20"/>
                <w:szCs w:val="20"/>
                <w:lang w:eastAsia="id-ID"/>
              </w:rPr>
              <w:t>65,90</w:t>
            </w:r>
          </w:p>
        </w:tc>
      </w:tr>
    </w:tbl>
    <w:p w:rsidR="00857C41" w:rsidRDefault="00857C41" w:rsidP="00857C41">
      <w:pPr>
        <w:pStyle w:val="biolockisi"/>
      </w:pPr>
    </w:p>
    <w:p w:rsidR="00857C41" w:rsidRDefault="00857C41" w:rsidP="00857C41">
      <w:pPr>
        <w:pStyle w:val="biolockisi"/>
      </w:pPr>
      <w:r w:rsidRPr="00857C41">
        <w:t>Based on the table above, it can be seen that the learning motivation ability of students in the experimental class has an average pre-test score of 61.06 and an average post-test score of 88.75 with the highest score of 77 and the lowest score of 67. Meanwhile, the control class has an average pre-test score of 63.58 and an average post-test of 65.90 with the highest score of 64 and the lowest score of 50.</w:t>
      </w:r>
    </w:p>
    <w:p w:rsidR="00857C41" w:rsidRDefault="00857C41" w:rsidP="00857C41">
      <w:pPr>
        <w:pStyle w:val="biolockisi"/>
        <w:ind w:firstLine="0"/>
        <w:jc w:val="center"/>
      </w:pPr>
      <w:r w:rsidRPr="00857C41">
        <w:rPr>
          <w:noProof/>
        </w:rPr>
        <w:drawing>
          <wp:inline distT="0" distB="0" distL="0" distR="0" wp14:anchorId="609E0C9A" wp14:editId="6945D509">
            <wp:extent cx="4549140" cy="1385195"/>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90909" cy="1397913"/>
                    </a:xfrm>
                    <a:prstGeom prst="rect">
                      <a:avLst/>
                    </a:prstGeom>
                  </pic:spPr>
                </pic:pic>
              </a:graphicData>
            </a:graphic>
          </wp:inline>
        </w:drawing>
      </w:r>
    </w:p>
    <w:p w:rsidR="00857C41" w:rsidRDefault="00857C41" w:rsidP="00857C41">
      <w:pPr>
        <w:pStyle w:val="biolockcaption-gambar"/>
      </w:pPr>
      <w:r w:rsidRPr="00857C41">
        <w:t>Figure 3. Summary of Learning Motivation Results for the Experimental Class (X1)</w:t>
      </w:r>
    </w:p>
    <w:p w:rsidR="00857C41" w:rsidRDefault="00857C41" w:rsidP="00857C41">
      <w:pPr>
        <w:pStyle w:val="biolockisi"/>
      </w:pPr>
      <w:r w:rsidRPr="00857C41">
        <w:t>The figure above shows a comparison of students' learning motivation scores in the experimental class based on pretest and posttest scores. Based on the data, a significant increase was observed in the experimental class with the median interactive multimedia-based biology learning treatment.</w:t>
      </w:r>
    </w:p>
    <w:p w:rsidR="00857C41" w:rsidRDefault="00857C41" w:rsidP="00857C41">
      <w:pPr>
        <w:pStyle w:val="biolockisi"/>
        <w:ind w:firstLine="0"/>
        <w:jc w:val="center"/>
      </w:pPr>
      <w:r w:rsidRPr="00857C41">
        <w:rPr>
          <w:noProof/>
        </w:rPr>
        <w:drawing>
          <wp:inline distT="0" distB="0" distL="0" distR="0" wp14:anchorId="7F82608A" wp14:editId="3A3120B2">
            <wp:extent cx="3604260" cy="2073056"/>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20067" cy="2082148"/>
                    </a:xfrm>
                    <a:prstGeom prst="rect">
                      <a:avLst/>
                    </a:prstGeom>
                  </pic:spPr>
                </pic:pic>
              </a:graphicData>
            </a:graphic>
          </wp:inline>
        </w:drawing>
      </w:r>
    </w:p>
    <w:p w:rsidR="00857C41" w:rsidRDefault="00857C41" w:rsidP="00857C41">
      <w:pPr>
        <w:pStyle w:val="biolockcaption-gambar"/>
      </w:pPr>
      <w:r w:rsidRPr="00857C41">
        <w:t>Figure 4. Summary of Learning Motivation Results for the Control Class (X2)</w:t>
      </w:r>
    </w:p>
    <w:p w:rsidR="00857C41" w:rsidRDefault="00857C41" w:rsidP="00857C41">
      <w:pPr>
        <w:pStyle w:val="biolockisi"/>
      </w:pPr>
      <w:r w:rsidRPr="00857C41">
        <w:t>The figure above shows a comparison of students' learning motivation scores in the control class based on pretest and posttest scores. Based on the data, there appears to be no significant increase in the median for the control class without interactive multimedia-based biology learning treatment.</w:t>
      </w:r>
    </w:p>
    <w:p w:rsidR="00857C41" w:rsidRPr="00857C41" w:rsidRDefault="00857C41" w:rsidP="00857C41">
      <w:pPr>
        <w:pStyle w:val="biolockcaption-table"/>
        <w:rPr>
          <w:rFonts w:ascii="Times New Roman" w:hAnsi="Times New Roman"/>
          <w:sz w:val="24"/>
          <w:szCs w:val="24"/>
          <w:lang w:val="en-ID" w:eastAsia="id-ID"/>
        </w:rPr>
      </w:pPr>
      <w:r w:rsidRPr="00857C41">
        <w:rPr>
          <w:lang w:val="en-ID" w:eastAsia="id-ID"/>
        </w:rPr>
        <w:lastRenderedPageBreak/>
        <w:t>Table 6. Normality Test of Learning Motivation</w:t>
      </w:r>
    </w:p>
    <w:tbl>
      <w:tblPr>
        <w:tblStyle w:val="TableGrid"/>
        <w:tblW w:w="5000" w:type="pct"/>
        <w:tblLook w:val="04A0" w:firstRow="1" w:lastRow="0" w:firstColumn="1" w:lastColumn="0" w:noHBand="0" w:noVBand="1"/>
      </w:tblPr>
      <w:tblGrid>
        <w:gridCol w:w="1682"/>
        <w:gridCol w:w="871"/>
        <w:gridCol w:w="1210"/>
        <w:gridCol w:w="664"/>
        <w:gridCol w:w="1362"/>
        <w:gridCol w:w="1210"/>
        <w:gridCol w:w="950"/>
        <w:gridCol w:w="1068"/>
      </w:tblGrid>
      <w:tr w:rsidR="00857C41" w:rsidRPr="00857C41" w:rsidTr="00857C41">
        <w:trPr>
          <w:trHeight w:val="24"/>
        </w:trPr>
        <w:tc>
          <w:tcPr>
            <w:tcW w:w="5000" w:type="pct"/>
            <w:gridSpan w:val="8"/>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b/>
                <w:bCs/>
                <w:color w:val="000000"/>
                <w:sz w:val="20"/>
                <w:szCs w:val="20"/>
                <w:lang w:val="id-ID" w:eastAsia="id-ID"/>
              </w:rPr>
              <w:t>Tests of Normality</w:t>
            </w:r>
          </w:p>
        </w:tc>
      </w:tr>
      <w:tr w:rsidR="00857C41" w:rsidRPr="00857C41" w:rsidTr="00857C41">
        <w:tc>
          <w:tcPr>
            <w:tcW w:w="1416" w:type="pct"/>
            <w:gridSpan w:val="2"/>
            <w:vMerge w:val="restart"/>
            <w:hideMark/>
          </w:tcPr>
          <w:p w:rsidR="00857C41" w:rsidRPr="00857C41" w:rsidRDefault="00857C41" w:rsidP="00857C41">
            <w:pPr>
              <w:rPr>
                <w:rFonts w:ascii="Times New Roman" w:eastAsia="Times New Roman" w:hAnsi="Times New Roman" w:cs="Times New Roman"/>
                <w:sz w:val="24"/>
                <w:szCs w:val="24"/>
                <w:lang w:val="id-ID" w:eastAsia="id-ID"/>
              </w:rPr>
            </w:pPr>
          </w:p>
        </w:tc>
        <w:tc>
          <w:tcPr>
            <w:tcW w:w="1794" w:type="pct"/>
            <w:gridSpan w:val="3"/>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Kolmogorov-Smirnov</w:t>
            </w:r>
            <w:r w:rsidRPr="00857C41">
              <w:rPr>
                <w:rFonts w:ascii="Times New Roman" w:eastAsia="Times New Roman" w:hAnsi="Times New Roman" w:cs="Times New Roman"/>
                <w:color w:val="000000"/>
                <w:sz w:val="20"/>
                <w:szCs w:val="20"/>
                <w:vertAlign w:val="superscript"/>
                <w:lang w:val="id-ID" w:eastAsia="id-ID"/>
              </w:rPr>
              <w:t>a</w:t>
            </w:r>
          </w:p>
        </w:tc>
        <w:tc>
          <w:tcPr>
            <w:tcW w:w="1790" w:type="pct"/>
            <w:gridSpan w:val="3"/>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Shapiro-Wilk</w:t>
            </w:r>
          </w:p>
        </w:tc>
      </w:tr>
      <w:tr w:rsidR="00857C41" w:rsidRPr="00857C41" w:rsidTr="00857C41">
        <w:tc>
          <w:tcPr>
            <w:tcW w:w="1416" w:type="pct"/>
            <w:gridSpan w:val="2"/>
            <w:vMerge/>
            <w:hideMark/>
          </w:tcPr>
          <w:p w:rsidR="00857C41" w:rsidRPr="00857C41" w:rsidRDefault="00857C41" w:rsidP="00857C41">
            <w:pPr>
              <w:rPr>
                <w:rFonts w:ascii="Times New Roman" w:eastAsia="Times New Roman" w:hAnsi="Times New Roman" w:cs="Times New Roman"/>
                <w:sz w:val="24"/>
                <w:szCs w:val="24"/>
                <w:lang w:val="id-ID" w:eastAsia="id-ID"/>
              </w:rPr>
            </w:pPr>
          </w:p>
        </w:tc>
        <w:tc>
          <w:tcPr>
            <w:tcW w:w="671"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Statistic</w:t>
            </w:r>
          </w:p>
        </w:tc>
        <w:tc>
          <w:tcPr>
            <w:tcW w:w="368"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df</w:t>
            </w:r>
          </w:p>
        </w:tc>
        <w:tc>
          <w:tcPr>
            <w:tcW w:w="755"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Sig.</w:t>
            </w:r>
          </w:p>
        </w:tc>
        <w:tc>
          <w:tcPr>
            <w:tcW w:w="671"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Statistic</w:t>
            </w:r>
          </w:p>
        </w:tc>
        <w:tc>
          <w:tcPr>
            <w:tcW w:w="527"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df</w:t>
            </w:r>
          </w:p>
        </w:tc>
        <w:tc>
          <w:tcPr>
            <w:tcW w:w="592"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Sig.</w:t>
            </w:r>
          </w:p>
        </w:tc>
      </w:tr>
      <w:tr w:rsidR="00857C41" w:rsidRPr="00857C41" w:rsidTr="00857C41">
        <w:tc>
          <w:tcPr>
            <w:tcW w:w="933" w:type="pct"/>
            <w:vMerge w:val="restar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Eksperimen</w:t>
            </w:r>
          </w:p>
        </w:tc>
        <w:tc>
          <w:tcPr>
            <w:tcW w:w="483"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Pret</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.176</w:t>
            </w:r>
          </w:p>
        </w:tc>
        <w:tc>
          <w:tcPr>
            <w:tcW w:w="368"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755"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.104</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.937</w:t>
            </w:r>
          </w:p>
        </w:tc>
        <w:tc>
          <w:tcPr>
            <w:tcW w:w="527"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592"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.209</w:t>
            </w:r>
          </w:p>
        </w:tc>
      </w:tr>
      <w:tr w:rsidR="00857C41" w:rsidRPr="00857C41" w:rsidTr="00857C41">
        <w:tc>
          <w:tcPr>
            <w:tcW w:w="933" w:type="pct"/>
            <w:vMerge/>
            <w:hideMark/>
          </w:tcPr>
          <w:p w:rsidR="00857C41" w:rsidRPr="00857C41" w:rsidRDefault="00857C41" w:rsidP="00857C41">
            <w:pPr>
              <w:rPr>
                <w:rFonts w:ascii="Times New Roman" w:eastAsia="Times New Roman" w:hAnsi="Times New Roman" w:cs="Times New Roman"/>
                <w:sz w:val="24"/>
                <w:szCs w:val="24"/>
                <w:lang w:val="id-ID" w:eastAsia="id-ID"/>
              </w:rPr>
            </w:pPr>
          </w:p>
        </w:tc>
        <w:tc>
          <w:tcPr>
            <w:tcW w:w="483"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Post</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.207</w:t>
            </w:r>
          </w:p>
        </w:tc>
        <w:tc>
          <w:tcPr>
            <w:tcW w:w="368"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755"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.024</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.932</w:t>
            </w:r>
          </w:p>
        </w:tc>
        <w:tc>
          <w:tcPr>
            <w:tcW w:w="527"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592"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.166</w:t>
            </w:r>
          </w:p>
        </w:tc>
      </w:tr>
      <w:tr w:rsidR="00857C41" w:rsidRPr="00857C41" w:rsidTr="00857C41">
        <w:tc>
          <w:tcPr>
            <w:tcW w:w="933" w:type="pct"/>
            <w:vMerge w:val="restar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Kontrol</w:t>
            </w:r>
          </w:p>
        </w:tc>
        <w:tc>
          <w:tcPr>
            <w:tcW w:w="483"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Pret</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.134</w:t>
            </w:r>
          </w:p>
        </w:tc>
        <w:tc>
          <w:tcPr>
            <w:tcW w:w="368"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755"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.200*</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.915</w:t>
            </w:r>
          </w:p>
        </w:tc>
        <w:tc>
          <w:tcPr>
            <w:tcW w:w="527"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592"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.079</w:t>
            </w:r>
          </w:p>
        </w:tc>
      </w:tr>
      <w:tr w:rsidR="00857C41" w:rsidRPr="00857C41" w:rsidTr="00857C41">
        <w:tc>
          <w:tcPr>
            <w:tcW w:w="933" w:type="pct"/>
            <w:vMerge/>
            <w:hideMark/>
          </w:tcPr>
          <w:p w:rsidR="00857C41" w:rsidRPr="00857C41" w:rsidRDefault="00857C41" w:rsidP="00857C41">
            <w:pPr>
              <w:rPr>
                <w:rFonts w:ascii="Times New Roman" w:eastAsia="Times New Roman" w:hAnsi="Times New Roman" w:cs="Times New Roman"/>
                <w:sz w:val="24"/>
                <w:szCs w:val="24"/>
                <w:lang w:val="id-ID" w:eastAsia="id-ID"/>
              </w:rPr>
            </w:pPr>
          </w:p>
        </w:tc>
        <w:tc>
          <w:tcPr>
            <w:tcW w:w="483" w:type="pct"/>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Post</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.097</w:t>
            </w:r>
          </w:p>
        </w:tc>
        <w:tc>
          <w:tcPr>
            <w:tcW w:w="368"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755"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.200*</w:t>
            </w:r>
          </w:p>
        </w:tc>
        <w:tc>
          <w:tcPr>
            <w:tcW w:w="671"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.974</w:t>
            </w:r>
          </w:p>
        </w:tc>
        <w:tc>
          <w:tcPr>
            <w:tcW w:w="527"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20</w:t>
            </w:r>
          </w:p>
        </w:tc>
        <w:tc>
          <w:tcPr>
            <w:tcW w:w="592" w:type="pct"/>
            <w:hideMark/>
          </w:tcPr>
          <w:p w:rsidR="00857C41" w:rsidRPr="00857C41" w:rsidRDefault="00857C41" w:rsidP="00857C41">
            <w:pPr>
              <w:ind w:left="62" w:right="62"/>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.836</w:t>
            </w:r>
          </w:p>
        </w:tc>
      </w:tr>
      <w:tr w:rsidR="00857C41" w:rsidRPr="00857C41" w:rsidTr="00857C41">
        <w:trPr>
          <w:trHeight w:val="12"/>
        </w:trPr>
        <w:tc>
          <w:tcPr>
            <w:tcW w:w="4408" w:type="pct"/>
            <w:gridSpan w:val="7"/>
            <w:hideMark/>
          </w:tcPr>
          <w:p w:rsidR="00857C41" w:rsidRPr="00857C41" w:rsidRDefault="00857C41" w:rsidP="00857C41">
            <w:pPr>
              <w:ind w:left="62" w:right="62"/>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202124"/>
                <w:sz w:val="20"/>
                <w:szCs w:val="20"/>
                <w:shd w:val="clear" w:color="auto" w:fill="FFFFFF"/>
                <w:lang w:val="id-ID" w:eastAsia="id-ID"/>
              </w:rPr>
              <w:t>Σ</w:t>
            </w:r>
            <w:r w:rsidRPr="00857C41">
              <w:rPr>
                <w:rFonts w:ascii="Times New Roman" w:eastAsia="Times New Roman" w:hAnsi="Times New Roman" w:cs="Times New Roman"/>
                <w:color w:val="000000"/>
                <w:sz w:val="20"/>
                <w:szCs w:val="20"/>
                <w:lang w:val="id-ID" w:eastAsia="id-ID"/>
              </w:rPr>
              <w:t>Sig</w:t>
            </w:r>
          </w:p>
        </w:tc>
        <w:tc>
          <w:tcPr>
            <w:tcW w:w="592" w:type="pct"/>
            <w:hideMark/>
          </w:tcPr>
          <w:p w:rsidR="00857C41" w:rsidRPr="00857C41" w:rsidRDefault="00857C41" w:rsidP="00857C41">
            <w:pPr>
              <w:jc w:val="right"/>
              <w:rPr>
                <w:rFonts w:ascii="Times New Roman" w:eastAsia="Times New Roman" w:hAnsi="Times New Roman" w:cs="Times New Roman"/>
                <w:sz w:val="24"/>
                <w:szCs w:val="24"/>
                <w:lang w:val="id-ID" w:eastAsia="id-ID"/>
              </w:rPr>
            </w:pPr>
            <w:r w:rsidRPr="00857C41">
              <w:rPr>
                <w:rFonts w:ascii="Times New Roman" w:eastAsia="Times New Roman" w:hAnsi="Times New Roman" w:cs="Times New Roman"/>
                <w:color w:val="000000"/>
                <w:sz w:val="20"/>
                <w:szCs w:val="20"/>
                <w:lang w:val="id-ID" w:eastAsia="id-ID"/>
              </w:rPr>
              <w:t>0,501</w:t>
            </w:r>
          </w:p>
        </w:tc>
      </w:tr>
    </w:tbl>
    <w:p w:rsidR="0001574D" w:rsidRDefault="0001574D" w:rsidP="0001574D">
      <w:pPr>
        <w:pStyle w:val="biolockisi"/>
        <w:rPr>
          <w:lang w:val="en-ID" w:eastAsia="id-ID"/>
        </w:rPr>
      </w:pPr>
    </w:p>
    <w:p w:rsidR="00857C41" w:rsidRPr="00857C41" w:rsidRDefault="0001574D" w:rsidP="0001574D">
      <w:pPr>
        <w:pStyle w:val="biolockisi"/>
        <w:rPr>
          <w:lang w:val="en-ID" w:eastAsia="id-ID"/>
        </w:rPr>
      </w:pPr>
      <w:r w:rsidRPr="0001574D">
        <w:rPr>
          <w:lang w:val="en-ID" w:eastAsia="id-ID"/>
        </w:rPr>
        <w:t xml:space="preserve">The Kolmogorov-Smirnov test for normality of the learning motivation test results found that both the experimental and control classes had values </w:t>
      </w:r>
      <w:r w:rsidRPr="0001574D">
        <w:rPr>
          <w:rFonts w:ascii="Arial" w:hAnsi="Arial" w:cs="Arial"/>
          <w:lang w:val="en-ID" w:eastAsia="id-ID"/>
        </w:rPr>
        <w:t>​​</w:t>
      </w:r>
      <w:r w:rsidRPr="0001574D">
        <w:rPr>
          <w:lang w:val="en-ID" w:eastAsia="id-ID"/>
        </w:rPr>
        <w:t>of 0.501 greater than 0.05 (0.501 &gt; 0.05). This indicates that both data are normally distributed.</w:t>
      </w:r>
    </w:p>
    <w:p w:rsidR="0001574D" w:rsidRPr="0001574D" w:rsidRDefault="0001574D" w:rsidP="0001574D">
      <w:pPr>
        <w:pStyle w:val="biolockcaption-table"/>
        <w:rPr>
          <w:rFonts w:ascii="Times New Roman" w:hAnsi="Times New Roman"/>
          <w:sz w:val="24"/>
          <w:szCs w:val="24"/>
          <w:lang w:val="en-ID" w:eastAsia="id-ID"/>
        </w:rPr>
      </w:pPr>
      <w:proofErr w:type="spellStart"/>
      <w:r w:rsidRPr="0001574D">
        <w:rPr>
          <w:lang w:val="en-ID" w:eastAsia="id-ID"/>
        </w:rPr>
        <w:t>Tabel</w:t>
      </w:r>
      <w:proofErr w:type="spellEnd"/>
      <w:r w:rsidRPr="0001574D">
        <w:rPr>
          <w:lang w:val="en-ID" w:eastAsia="id-ID"/>
        </w:rPr>
        <w:t xml:space="preserve"> 7. </w:t>
      </w:r>
      <w:proofErr w:type="spellStart"/>
      <w:r w:rsidRPr="0001574D">
        <w:rPr>
          <w:lang w:val="en-ID" w:eastAsia="id-ID"/>
        </w:rPr>
        <w:t>Uji</w:t>
      </w:r>
      <w:proofErr w:type="spellEnd"/>
      <w:r w:rsidRPr="0001574D">
        <w:rPr>
          <w:lang w:val="en-ID" w:eastAsia="id-ID"/>
        </w:rPr>
        <w:t xml:space="preserve"> </w:t>
      </w:r>
      <w:proofErr w:type="spellStart"/>
      <w:r w:rsidRPr="0001574D">
        <w:rPr>
          <w:lang w:val="en-ID" w:eastAsia="id-ID"/>
        </w:rPr>
        <w:t>Homogenitas</w:t>
      </w:r>
      <w:proofErr w:type="spellEnd"/>
      <w:r w:rsidRPr="0001574D">
        <w:rPr>
          <w:lang w:val="en-ID" w:eastAsia="id-ID"/>
        </w:rPr>
        <w:t xml:space="preserve"> </w:t>
      </w:r>
      <w:proofErr w:type="spellStart"/>
      <w:r w:rsidRPr="0001574D">
        <w:rPr>
          <w:lang w:val="en-ID" w:eastAsia="id-ID"/>
        </w:rPr>
        <w:t>Motivasi</w:t>
      </w:r>
      <w:proofErr w:type="spellEnd"/>
      <w:r w:rsidRPr="0001574D">
        <w:rPr>
          <w:lang w:val="en-ID" w:eastAsia="id-ID"/>
        </w:rPr>
        <w:t xml:space="preserve"> </w:t>
      </w:r>
      <w:proofErr w:type="spellStart"/>
      <w:r w:rsidRPr="0001574D">
        <w:rPr>
          <w:lang w:val="en-ID" w:eastAsia="id-ID"/>
        </w:rPr>
        <w:t>belajar</w:t>
      </w:r>
      <w:proofErr w:type="spellEnd"/>
    </w:p>
    <w:tbl>
      <w:tblPr>
        <w:tblStyle w:val="TableGrid"/>
        <w:tblW w:w="5000" w:type="pct"/>
        <w:tblLook w:val="04A0" w:firstRow="1" w:lastRow="0" w:firstColumn="1" w:lastColumn="0" w:noHBand="0" w:noVBand="1"/>
      </w:tblPr>
      <w:tblGrid>
        <w:gridCol w:w="2673"/>
        <w:gridCol w:w="1865"/>
        <w:gridCol w:w="887"/>
        <w:gridCol w:w="1758"/>
        <w:gridCol w:w="1834"/>
      </w:tblGrid>
      <w:tr w:rsidR="0001574D" w:rsidRPr="0001574D" w:rsidTr="0001574D">
        <w:tc>
          <w:tcPr>
            <w:tcW w:w="5000" w:type="pct"/>
            <w:gridSpan w:val="5"/>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Test of Homogeneity of Variances</w:t>
            </w:r>
          </w:p>
        </w:tc>
      </w:tr>
      <w:tr w:rsidR="0001574D" w:rsidRPr="0001574D" w:rsidTr="0001574D">
        <w:tc>
          <w:tcPr>
            <w:tcW w:w="5000" w:type="pct"/>
            <w:gridSpan w:val="5"/>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Motivasi belajar</w:t>
            </w:r>
          </w:p>
        </w:tc>
      </w:tr>
      <w:tr w:rsidR="0001574D" w:rsidRPr="0001574D" w:rsidTr="0001574D">
        <w:tc>
          <w:tcPr>
            <w:tcW w:w="148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Nilai</w:t>
            </w:r>
          </w:p>
        </w:tc>
        <w:tc>
          <w:tcPr>
            <w:tcW w:w="1034"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Levene Statistic</w:t>
            </w:r>
          </w:p>
        </w:tc>
        <w:tc>
          <w:tcPr>
            <w:tcW w:w="49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df1</w:t>
            </w:r>
          </w:p>
        </w:tc>
        <w:tc>
          <w:tcPr>
            <w:tcW w:w="97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df2</w:t>
            </w:r>
          </w:p>
        </w:tc>
        <w:tc>
          <w:tcPr>
            <w:tcW w:w="101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Sig.</w:t>
            </w:r>
          </w:p>
        </w:tc>
      </w:tr>
      <w:tr w:rsidR="0001574D" w:rsidRPr="0001574D" w:rsidTr="0001574D">
        <w:tc>
          <w:tcPr>
            <w:tcW w:w="148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Pretest</w:t>
            </w:r>
          </w:p>
        </w:tc>
        <w:tc>
          <w:tcPr>
            <w:tcW w:w="1034"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1.087</w:t>
            </w:r>
          </w:p>
        </w:tc>
        <w:tc>
          <w:tcPr>
            <w:tcW w:w="49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w:t>
            </w:r>
          </w:p>
        </w:tc>
        <w:tc>
          <w:tcPr>
            <w:tcW w:w="97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40</w:t>
            </w:r>
          </w:p>
        </w:tc>
        <w:tc>
          <w:tcPr>
            <w:tcW w:w="101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0,414</w:t>
            </w:r>
          </w:p>
        </w:tc>
      </w:tr>
      <w:tr w:rsidR="0001574D" w:rsidRPr="0001574D" w:rsidTr="0001574D">
        <w:tc>
          <w:tcPr>
            <w:tcW w:w="148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Postest</w:t>
            </w:r>
          </w:p>
        </w:tc>
        <w:tc>
          <w:tcPr>
            <w:tcW w:w="1034"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2.725</w:t>
            </w:r>
          </w:p>
        </w:tc>
        <w:tc>
          <w:tcPr>
            <w:tcW w:w="49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6</w:t>
            </w:r>
          </w:p>
        </w:tc>
        <w:tc>
          <w:tcPr>
            <w:tcW w:w="97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33</w:t>
            </w:r>
          </w:p>
        </w:tc>
        <w:tc>
          <w:tcPr>
            <w:tcW w:w="101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0,019</w:t>
            </w:r>
          </w:p>
        </w:tc>
      </w:tr>
      <w:tr w:rsidR="0001574D" w:rsidRPr="0001574D" w:rsidTr="0001574D">
        <w:tc>
          <w:tcPr>
            <w:tcW w:w="3983" w:type="pct"/>
            <w:gridSpan w:val="4"/>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ΣSig</w:t>
            </w:r>
          </w:p>
        </w:tc>
        <w:tc>
          <w:tcPr>
            <w:tcW w:w="101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0,216</w:t>
            </w:r>
          </w:p>
        </w:tc>
      </w:tr>
    </w:tbl>
    <w:p w:rsidR="0001574D" w:rsidRDefault="0001574D" w:rsidP="0001574D">
      <w:pPr>
        <w:pStyle w:val="biolockisi"/>
        <w:rPr>
          <w:lang w:val="en-ID" w:eastAsia="id-ID"/>
        </w:rPr>
      </w:pPr>
    </w:p>
    <w:p w:rsidR="0001574D" w:rsidRDefault="0001574D" w:rsidP="0001574D">
      <w:pPr>
        <w:pStyle w:val="biolockisi"/>
        <w:rPr>
          <w:lang w:val="en-ID" w:eastAsia="id-ID"/>
        </w:rPr>
      </w:pPr>
      <w:r w:rsidRPr="0001574D">
        <w:rPr>
          <w:lang w:val="en-ID" w:eastAsia="id-ID"/>
        </w:rPr>
        <w:t>After the normality test, a homogeneity test was conducted. Based on Table 4.3, the homogeneity test results using the Leave Statistic in SPSS 24 yielded a value of 0.216, which is greater than 0.05 (0.216 &gt; 0.05). Therefore, it can be concluded that there is a significant difference in the learning motivation test results in the experimental and control classes.</w:t>
      </w:r>
    </w:p>
    <w:p w:rsidR="0001574D" w:rsidRDefault="0001574D" w:rsidP="0001574D">
      <w:pPr>
        <w:pStyle w:val="biolockcaption-table"/>
        <w:rPr>
          <w:lang w:val="en-ID" w:eastAsia="id-ID"/>
        </w:rPr>
      </w:pPr>
      <w:r w:rsidRPr="0001574D">
        <w:rPr>
          <w:lang w:val="en-ID" w:eastAsia="id-ID"/>
        </w:rPr>
        <w:t>Table 8. Hypothesis Test for Learning Motivation Test</w:t>
      </w:r>
    </w:p>
    <w:tbl>
      <w:tblPr>
        <w:tblStyle w:val="TableGrid"/>
        <w:tblW w:w="5000" w:type="pct"/>
        <w:tblLook w:val="04A0" w:firstRow="1" w:lastRow="0" w:firstColumn="1" w:lastColumn="0" w:noHBand="0" w:noVBand="1"/>
      </w:tblPr>
      <w:tblGrid>
        <w:gridCol w:w="2028"/>
        <w:gridCol w:w="1582"/>
        <w:gridCol w:w="671"/>
        <w:gridCol w:w="1289"/>
        <w:gridCol w:w="857"/>
        <w:gridCol w:w="2590"/>
      </w:tblGrid>
      <w:tr w:rsidR="0001574D" w:rsidRPr="0001574D" w:rsidTr="0001574D">
        <w:tc>
          <w:tcPr>
            <w:tcW w:w="5000" w:type="pct"/>
            <w:gridSpan w:val="6"/>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ANOVA</w:t>
            </w:r>
          </w:p>
        </w:tc>
      </w:tr>
      <w:tr w:rsidR="0001574D" w:rsidRPr="0001574D" w:rsidTr="0001574D">
        <w:tc>
          <w:tcPr>
            <w:tcW w:w="112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Model</w:t>
            </w:r>
          </w:p>
        </w:tc>
        <w:tc>
          <w:tcPr>
            <w:tcW w:w="87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Sum of Squares</w:t>
            </w:r>
          </w:p>
        </w:tc>
        <w:tc>
          <w:tcPr>
            <w:tcW w:w="37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df</w:t>
            </w:r>
          </w:p>
        </w:tc>
        <w:tc>
          <w:tcPr>
            <w:tcW w:w="71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Mean Square</w:t>
            </w:r>
          </w:p>
        </w:tc>
        <w:tc>
          <w:tcPr>
            <w:tcW w:w="47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F</w:t>
            </w:r>
          </w:p>
        </w:tc>
        <w:tc>
          <w:tcPr>
            <w:tcW w:w="1436"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Sig.</w:t>
            </w:r>
          </w:p>
        </w:tc>
      </w:tr>
      <w:tr w:rsidR="0001574D" w:rsidRPr="0001574D" w:rsidTr="0001574D">
        <w:tc>
          <w:tcPr>
            <w:tcW w:w="112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Regression</w:t>
            </w:r>
          </w:p>
        </w:tc>
        <w:tc>
          <w:tcPr>
            <w:tcW w:w="87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.686</w:t>
            </w:r>
          </w:p>
        </w:tc>
        <w:tc>
          <w:tcPr>
            <w:tcW w:w="37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w:t>
            </w:r>
          </w:p>
        </w:tc>
        <w:tc>
          <w:tcPr>
            <w:tcW w:w="71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.686</w:t>
            </w:r>
          </w:p>
        </w:tc>
        <w:tc>
          <w:tcPr>
            <w:tcW w:w="47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.107</w:t>
            </w:r>
          </w:p>
        </w:tc>
        <w:tc>
          <w:tcPr>
            <w:tcW w:w="1436"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.047b</w:t>
            </w:r>
          </w:p>
        </w:tc>
      </w:tr>
      <w:tr w:rsidR="0001574D" w:rsidRPr="0001574D" w:rsidTr="0001574D">
        <w:tc>
          <w:tcPr>
            <w:tcW w:w="112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Residual</w:t>
            </w:r>
          </w:p>
        </w:tc>
        <w:tc>
          <w:tcPr>
            <w:tcW w:w="87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115.314</w:t>
            </w:r>
          </w:p>
        </w:tc>
        <w:tc>
          <w:tcPr>
            <w:tcW w:w="37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18</w:t>
            </w:r>
          </w:p>
        </w:tc>
        <w:tc>
          <w:tcPr>
            <w:tcW w:w="71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6.406</w:t>
            </w:r>
          </w:p>
        </w:tc>
        <w:tc>
          <w:tcPr>
            <w:tcW w:w="475" w:type="pct"/>
            <w:hideMark/>
          </w:tcPr>
          <w:p w:rsidR="0001574D" w:rsidRPr="0001574D" w:rsidRDefault="0001574D" w:rsidP="0001574D">
            <w:pPr>
              <w:spacing w:before="100" w:beforeAutospacing="1"/>
              <w:rPr>
                <w:rFonts w:ascii="Times New Roman" w:eastAsia="Times New Roman" w:hAnsi="Times New Roman" w:cs="Times New Roman"/>
                <w:sz w:val="24"/>
                <w:szCs w:val="24"/>
                <w:lang w:val="id-ID" w:eastAsia="id-ID"/>
              </w:rPr>
            </w:pPr>
          </w:p>
        </w:tc>
        <w:tc>
          <w:tcPr>
            <w:tcW w:w="1436" w:type="pct"/>
            <w:hideMark/>
          </w:tcPr>
          <w:p w:rsidR="0001574D" w:rsidRPr="0001574D" w:rsidRDefault="0001574D" w:rsidP="0001574D">
            <w:pPr>
              <w:spacing w:before="100" w:beforeAutospacing="1"/>
              <w:rPr>
                <w:rFonts w:ascii="Times New Roman" w:eastAsia="Times New Roman" w:hAnsi="Times New Roman" w:cs="Times New Roman"/>
                <w:sz w:val="24"/>
                <w:szCs w:val="24"/>
                <w:lang w:val="id-ID" w:eastAsia="id-ID"/>
              </w:rPr>
            </w:pPr>
          </w:p>
        </w:tc>
      </w:tr>
      <w:tr w:rsidR="0001574D" w:rsidRPr="0001574D" w:rsidTr="0001574D">
        <w:tc>
          <w:tcPr>
            <w:tcW w:w="1125"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Total</w:t>
            </w:r>
          </w:p>
        </w:tc>
        <w:tc>
          <w:tcPr>
            <w:tcW w:w="877"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116.000</w:t>
            </w:r>
          </w:p>
        </w:tc>
        <w:tc>
          <w:tcPr>
            <w:tcW w:w="372" w:type="pct"/>
            <w:hideMark/>
          </w:tcPr>
          <w:p w:rsidR="0001574D" w:rsidRPr="0001574D" w:rsidRDefault="0001574D" w:rsidP="0001574D">
            <w:pPr>
              <w:spacing w:before="100" w:beforeAutospacing="1"/>
              <w:ind w:left="62" w:right="62"/>
              <w:rPr>
                <w:rFonts w:ascii="Times New Roman" w:eastAsia="Times New Roman" w:hAnsi="Times New Roman" w:cs="Times New Roman"/>
                <w:sz w:val="24"/>
                <w:szCs w:val="24"/>
                <w:lang w:val="id-ID" w:eastAsia="id-ID"/>
              </w:rPr>
            </w:pPr>
            <w:r w:rsidRPr="0001574D">
              <w:rPr>
                <w:rFonts w:ascii="Times New Roman" w:eastAsia="Times New Roman" w:hAnsi="Times New Roman" w:cs="Times New Roman"/>
                <w:color w:val="000000"/>
                <w:sz w:val="20"/>
                <w:szCs w:val="20"/>
                <w:lang w:val="id-ID" w:eastAsia="id-ID"/>
              </w:rPr>
              <w:t>19</w:t>
            </w:r>
          </w:p>
        </w:tc>
        <w:tc>
          <w:tcPr>
            <w:tcW w:w="715" w:type="pct"/>
            <w:hideMark/>
          </w:tcPr>
          <w:p w:rsidR="0001574D" w:rsidRPr="0001574D" w:rsidRDefault="0001574D" w:rsidP="0001574D">
            <w:pPr>
              <w:spacing w:before="100" w:beforeAutospacing="1"/>
              <w:rPr>
                <w:rFonts w:ascii="Times New Roman" w:eastAsia="Times New Roman" w:hAnsi="Times New Roman" w:cs="Times New Roman"/>
                <w:sz w:val="24"/>
                <w:szCs w:val="24"/>
                <w:lang w:val="id-ID" w:eastAsia="id-ID"/>
              </w:rPr>
            </w:pPr>
          </w:p>
        </w:tc>
        <w:tc>
          <w:tcPr>
            <w:tcW w:w="475" w:type="pct"/>
            <w:hideMark/>
          </w:tcPr>
          <w:p w:rsidR="0001574D" w:rsidRPr="0001574D" w:rsidRDefault="0001574D" w:rsidP="0001574D">
            <w:pPr>
              <w:spacing w:before="100" w:beforeAutospacing="1"/>
              <w:rPr>
                <w:rFonts w:ascii="Times New Roman" w:eastAsia="Times New Roman" w:hAnsi="Times New Roman" w:cs="Times New Roman"/>
                <w:sz w:val="24"/>
                <w:szCs w:val="24"/>
                <w:lang w:val="id-ID" w:eastAsia="id-ID"/>
              </w:rPr>
            </w:pPr>
          </w:p>
        </w:tc>
        <w:tc>
          <w:tcPr>
            <w:tcW w:w="1436" w:type="pct"/>
            <w:hideMark/>
          </w:tcPr>
          <w:p w:rsidR="0001574D" w:rsidRPr="0001574D" w:rsidRDefault="0001574D" w:rsidP="0001574D">
            <w:pPr>
              <w:spacing w:before="100" w:beforeAutospacing="1"/>
              <w:rPr>
                <w:rFonts w:ascii="Times New Roman" w:eastAsia="Times New Roman" w:hAnsi="Times New Roman" w:cs="Times New Roman"/>
                <w:sz w:val="24"/>
                <w:szCs w:val="24"/>
                <w:lang w:val="id-ID" w:eastAsia="id-ID"/>
              </w:rPr>
            </w:pPr>
          </w:p>
        </w:tc>
      </w:tr>
    </w:tbl>
    <w:p w:rsidR="0001574D" w:rsidRDefault="0001574D" w:rsidP="0001574D">
      <w:pPr>
        <w:pStyle w:val="biolockisi"/>
        <w:rPr>
          <w:lang w:val="en-ID" w:eastAsia="id-ID"/>
        </w:rPr>
      </w:pPr>
    </w:p>
    <w:p w:rsidR="0001574D" w:rsidRPr="0001574D" w:rsidRDefault="0001574D" w:rsidP="0001574D">
      <w:pPr>
        <w:pStyle w:val="biolockisi"/>
        <w:rPr>
          <w:lang w:val="en-ID" w:eastAsia="id-ID"/>
        </w:rPr>
      </w:pPr>
      <w:r w:rsidRPr="0001574D">
        <w:rPr>
          <w:lang w:val="en-ID" w:eastAsia="id-ID"/>
        </w:rPr>
        <w:t>Based on Table 4.4, the results of the hypothesis test analysis using SPSS 24 show that the significance level of the pre-</w:t>
      </w:r>
      <w:proofErr w:type="spellStart"/>
      <w:r w:rsidRPr="0001574D">
        <w:rPr>
          <w:lang w:val="en-ID" w:eastAsia="id-ID"/>
        </w:rPr>
        <w:t>posttest</w:t>
      </w:r>
      <w:proofErr w:type="spellEnd"/>
      <w:r w:rsidRPr="0001574D">
        <w:rPr>
          <w:lang w:val="en-ID" w:eastAsia="id-ID"/>
        </w:rPr>
        <w:t xml:space="preserve"> for the experimental class and the control class was &lt;0.05, namely 0.047. This means that there is an influence of the use of interactive multimedia-based biology learning media on the ability and motivation of students at SMAN 10 North Bengkulu.</w:t>
      </w:r>
    </w:p>
    <w:p w:rsidR="0001574D" w:rsidRDefault="0001574D" w:rsidP="0001574D">
      <w:pPr>
        <w:pStyle w:val="biolocksubbab"/>
      </w:pPr>
      <w:r>
        <w:t>Critical Thinking Skills</w:t>
      </w:r>
    </w:p>
    <w:p w:rsidR="0001574D" w:rsidRDefault="0001574D" w:rsidP="0001574D">
      <w:pPr>
        <w:pStyle w:val="biolockisi"/>
      </w:pPr>
      <w:r>
        <w:t xml:space="preserve">Based on the research results, it was concluded that interactive media can be used, but further evaluation is possible. The results of the normality test for students' critical thinking scores showed an </w:t>
      </w:r>
      <w:proofErr w:type="spellStart"/>
      <w:r>
        <w:t>Asymp</w:t>
      </w:r>
      <w:proofErr w:type="spellEnd"/>
      <w:r>
        <w:t>. Sig. (2-tailed) of 0.372 &gt; α (0.05), indicating that statistical decision-making demonstrates a significant effect on students' critical thinking.</w:t>
      </w:r>
    </w:p>
    <w:p w:rsidR="0001574D" w:rsidRDefault="0001574D" w:rsidP="0001574D">
      <w:pPr>
        <w:pStyle w:val="biolockisi"/>
      </w:pPr>
      <w:r>
        <w:t>From an instructional media perspective, this interactive media-based biology learning media qualifies as very good. Furthermore, it can increase student enthusiasm and understanding due to its combination of text, images, animation, sound, video, quizzes, and interactive buttons, creating a less monotonous learning environment (</w:t>
      </w:r>
      <w:proofErr w:type="spellStart"/>
      <w:r>
        <w:t>Widiyasanti</w:t>
      </w:r>
      <w:proofErr w:type="spellEnd"/>
      <w:r>
        <w:t xml:space="preserve"> &amp; </w:t>
      </w:r>
      <w:proofErr w:type="spellStart"/>
      <w:r>
        <w:t>Ayriza</w:t>
      </w:r>
      <w:proofErr w:type="spellEnd"/>
      <w:r>
        <w:t>, 2018).</w:t>
      </w:r>
    </w:p>
    <w:p w:rsidR="0001574D" w:rsidRDefault="0001574D" w:rsidP="0001574D">
      <w:pPr>
        <w:pStyle w:val="biolockisi"/>
      </w:pPr>
      <w:r>
        <w:t xml:space="preserve">Hypothesis testing of students' critical thinking scores yielded a significance value of 0.014 and a significance value of 0.047 for student learning motivation &lt; α (0.05). Ha is accepted, indicating that the use of interactive media-based biology learning media has an effect on students' </w:t>
      </w:r>
      <w:r>
        <w:lastRenderedPageBreak/>
        <w:t>critical thinking and learning motivation at SMAN 10 North Bengkulu. On the other hand, interactive media has a very significant impact on students' learning outcomes and critical thinking. It provides a new learning experience for students. By using interactive multimedia, students are required to improve their understanding and higher-order (critical) thinking skills (</w:t>
      </w:r>
      <w:proofErr w:type="spellStart"/>
      <w:r>
        <w:t>Hendi</w:t>
      </w:r>
      <w:proofErr w:type="spellEnd"/>
      <w:r>
        <w:t xml:space="preserve"> et al., 2020).</w:t>
      </w:r>
    </w:p>
    <w:p w:rsidR="0001574D" w:rsidRDefault="0001574D" w:rsidP="0001574D">
      <w:pPr>
        <w:pStyle w:val="biolocksubbab"/>
      </w:pPr>
      <w:r>
        <w:t>Student Learning Motivation</w:t>
      </w:r>
    </w:p>
    <w:p w:rsidR="0001574D" w:rsidRDefault="0001574D" w:rsidP="0001574D">
      <w:pPr>
        <w:pStyle w:val="biolockisi"/>
      </w:pPr>
      <w:r>
        <w:t xml:space="preserve">The results of the normality test for the hypothesis of student learning motivation showed an </w:t>
      </w:r>
      <w:proofErr w:type="spellStart"/>
      <w:r>
        <w:t>Asymp</w:t>
      </w:r>
      <w:proofErr w:type="spellEnd"/>
      <w:r>
        <w:t>. Sig. (2-tailed) of .047b &gt; α (0.05), indicating that, based on statistical decision-making, there is a significant influence on student learning motivation.</w:t>
      </w:r>
    </w:p>
    <w:p w:rsidR="0001574D" w:rsidRDefault="0001574D" w:rsidP="0001574D">
      <w:pPr>
        <w:pStyle w:val="biolockisi"/>
      </w:pPr>
      <w:r>
        <w:t>The results of the homogeneity test for the significance value of student learning motivation were 0.216 &gt; α (0.05). Based on statistical decision-making, the data are considered non-homogeneous, indicating that there are differences in student learning motivation in the experimental class and the control class. The advantage of interactive multimedia is that it can increase student learning enthusiasm because it includes engaging text, animation, sound, and video. The hypothesis test yielded a significance value of 0.047, &lt;α (0.05), concluding that the use of multimedia in Biology lessons influences student learning motivation. Good interactive media can increase student learning motivation because the appropriateness of the media significantly impacts the success of the interactive media used. The most important motivation in interactive learning media is that students not only pay attention to the presentation of the material or objects but also participate in interaction during the learning process. Interactive media is equipped with a user-operated control device, allowing users to select desired learning outcomes for the next stage. Interactive aspects of this media can include navigation, simulations, games, and practice questions, thereby increasing student motivation in the lesson (</w:t>
      </w:r>
      <w:proofErr w:type="spellStart"/>
      <w:r>
        <w:t>Hendi</w:t>
      </w:r>
      <w:proofErr w:type="spellEnd"/>
      <w:r>
        <w:t xml:space="preserve"> et al., 2020).</w:t>
      </w:r>
    </w:p>
    <w:p w:rsidR="0001574D" w:rsidRDefault="0001574D" w:rsidP="0001574D">
      <w:pPr>
        <w:pStyle w:val="biolockisi"/>
      </w:pPr>
      <w:r>
        <w:t>The comprehensiveness of the available information can help students understand the material. Using technological assistance, specifically interactive multimedia, in the learning process can increase student learning motivation (</w:t>
      </w:r>
      <w:proofErr w:type="spellStart"/>
      <w:r>
        <w:t>Wahyugi</w:t>
      </w:r>
      <w:proofErr w:type="spellEnd"/>
      <w:r>
        <w:t xml:space="preserve"> &amp; </w:t>
      </w:r>
      <w:proofErr w:type="spellStart"/>
      <w:r>
        <w:t>Fatmariza</w:t>
      </w:r>
      <w:proofErr w:type="spellEnd"/>
      <w:r>
        <w:t>, 2021).</w:t>
      </w:r>
    </w:p>
    <w:p w:rsidR="0001574D" w:rsidRDefault="0001574D" w:rsidP="0001574D">
      <w:pPr>
        <w:pStyle w:val="biolocksubbab"/>
      </w:pPr>
      <w:r>
        <w:t>The Influence of Media on Critical Thinking and Learning Motivation</w:t>
      </w:r>
    </w:p>
    <w:p w:rsidR="0001574D" w:rsidRDefault="0001574D" w:rsidP="0001574D">
      <w:pPr>
        <w:pStyle w:val="biolockisi"/>
      </w:pPr>
      <w:r>
        <w:t>Based on the results of the hypothesis testing in the study, it was concluded that interactive multimedia-based biology learning significantly impacted critical thinking skills and increased student motivation in biology lessons.</w:t>
      </w:r>
    </w:p>
    <w:p w:rsidR="00857C41" w:rsidRPr="00857C41" w:rsidRDefault="0001574D" w:rsidP="0001574D">
      <w:pPr>
        <w:pStyle w:val="biolockisi"/>
      </w:pPr>
      <w:r>
        <w:t>Interactive media is suitable for implementation in the learning process due to several factors: excellent qualifications in the subject content aspect are obtained based on the alignment of the material content with basic competencies, indicators, and learning objectives. Basic competencies can be achieved by formulating measurable indicators in accordance with basic competencies and learning objectives (</w:t>
      </w:r>
      <w:proofErr w:type="spellStart"/>
      <w:r>
        <w:t>Sastradewi</w:t>
      </w:r>
      <w:proofErr w:type="spellEnd"/>
      <w:r>
        <w:t xml:space="preserve"> and </w:t>
      </w:r>
      <w:proofErr w:type="spellStart"/>
      <w:r>
        <w:t>Agung</w:t>
      </w:r>
      <w:proofErr w:type="spellEnd"/>
      <w:r>
        <w:t>, 2022). Interactive media can facilitate student learning because the accuracy of the material plays a crucial role, especially in terms of conceptual accuracy of what they have learned in this learning medium (</w:t>
      </w:r>
      <w:proofErr w:type="spellStart"/>
      <w:r>
        <w:t>Pratiwi</w:t>
      </w:r>
      <w:proofErr w:type="spellEnd"/>
      <w:r>
        <w:t xml:space="preserve"> et al., 2018; Putra et al., 2018). The accuracy of the material presented will enable students to delve deeper into the content easily. Accurate material is obtained from various relevant reference sources, because producing quality media requires attention to material accuracy (</w:t>
      </w:r>
      <w:proofErr w:type="spellStart"/>
      <w:r>
        <w:t>Sastradewi</w:t>
      </w:r>
      <w:proofErr w:type="spellEnd"/>
      <w:r>
        <w:t xml:space="preserve"> and </w:t>
      </w:r>
      <w:proofErr w:type="spellStart"/>
      <w:r>
        <w:t>Agung</w:t>
      </w:r>
      <w:proofErr w:type="spellEnd"/>
      <w:r>
        <w:t>, 2022).</w:t>
      </w:r>
    </w:p>
    <w:p w:rsidR="00361ACD" w:rsidRDefault="00361ACD" w:rsidP="00AF087C">
      <w:pPr>
        <w:pStyle w:val="biolockbab"/>
      </w:pPr>
      <w:r>
        <w:t>CONCLUSION</w:t>
      </w:r>
    </w:p>
    <w:p w:rsidR="0001574D" w:rsidRDefault="0001574D" w:rsidP="0001574D">
      <w:pPr>
        <w:pStyle w:val="biolockisi"/>
      </w:pPr>
      <w:r>
        <w:t>Based on the data analysis and hypothesis testing conducted, it can be concluded that:</w:t>
      </w:r>
    </w:p>
    <w:p w:rsidR="0001574D" w:rsidRPr="0001574D" w:rsidRDefault="0001574D" w:rsidP="0001574D">
      <w:pPr>
        <w:pStyle w:val="biolockpenomoran"/>
      </w:pPr>
      <w:r>
        <w:t>1</w:t>
      </w:r>
      <w:r w:rsidRPr="0001574D">
        <w:t>. Interactive media-based biology learning media has a positive effect on students' critical thinking at SMAN 10 North Bengkulu.</w:t>
      </w:r>
    </w:p>
    <w:p w:rsidR="00F40002" w:rsidRDefault="0001574D" w:rsidP="0001574D">
      <w:pPr>
        <w:pStyle w:val="biolockpenomoran"/>
      </w:pPr>
      <w:r w:rsidRPr="0001574D">
        <w:t>2. Interactive media-based biology learning media has a positive effect on students' learning motivation at SMAN 10 North Bengkulu</w:t>
      </w:r>
      <w:r>
        <w:t>.</w:t>
      </w:r>
    </w:p>
    <w:p w:rsidR="00F40002" w:rsidRDefault="00F40002" w:rsidP="00F40002">
      <w:pPr>
        <w:pStyle w:val="biolockbab"/>
      </w:pPr>
      <w:r>
        <w:lastRenderedPageBreak/>
        <w:t>REFERENCES</w:t>
      </w:r>
    </w:p>
    <w:p w:rsidR="0001574D" w:rsidRDefault="0001574D" w:rsidP="0001574D">
      <w:pPr>
        <w:pStyle w:val="biolockreference"/>
      </w:pPr>
      <w:r>
        <w:t xml:space="preserve">Ennis, R.H, (2011), The Nature of Critical Thinking: An Outline of </w:t>
      </w:r>
      <w:proofErr w:type="spellStart"/>
      <w:r>
        <w:t>Critikal</w:t>
      </w:r>
      <w:proofErr w:type="spellEnd"/>
      <w:r>
        <w:t xml:space="preserve"> Thinking Dispositions and Abilities. Chicago: University of Illinois.</w:t>
      </w:r>
    </w:p>
    <w:p w:rsidR="0001574D" w:rsidRDefault="0001574D" w:rsidP="0001574D">
      <w:pPr>
        <w:pStyle w:val="biolockreference"/>
      </w:pPr>
      <w:proofErr w:type="spellStart"/>
      <w:r>
        <w:t>Wahyugi</w:t>
      </w:r>
      <w:proofErr w:type="spellEnd"/>
      <w:r>
        <w:t xml:space="preserve">, R., &amp; </w:t>
      </w:r>
      <w:proofErr w:type="spellStart"/>
      <w:r>
        <w:t>Fatmariza</w:t>
      </w:r>
      <w:proofErr w:type="spellEnd"/>
      <w:r>
        <w:t xml:space="preserve">, F. (2021). </w:t>
      </w:r>
      <w:proofErr w:type="spellStart"/>
      <w:r>
        <w:t>Pengembangan</w:t>
      </w:r>
      <w:proofErr w:type="spellEnd"/>
      <w:r>
        <w:t xml:space="preserve"> Multimedia </w:t>
      </w:r>
      <w:proofErr w:type="spellStart"/>
      <w:r>
        <w:t>Interaktif</w:t>
      </w:r>
      <w:proofErr w:type="spellEnd"/>
      <w:r>
        <w:t xml:space="preserve"> </w:t>
      </w:r>
      <w:proofErr w:type="spellStart"/>
      <w:r>
        <w:t>Menggunakan</w:t>
      </w:r>
      <w:proofErr w:type="spellEnd"/>
      <w:r>
        <w:t xml:space="preserve"> Software Macromedia Flash 8 </w:t>
      </w:r>
      <w:proofErr w:type="spellStart"/>
      <w:r>
        <w:t>Sebagai</w:t>
      </w:r>
      <w:proofErr w:type="spellEnd"/>
      <w:r>
        <w:t xml:space="preserve"> </w:t>
      </w:r>
      <w:proofErr w:type="spellStart"/>
      <w:r>
        <w:t>Upaya</w:t>
      </w:r>
      <w:proofErr w:type="spellEnd"/>
      <w:r>
        <w:t xml:space="preserve"> </w:t>
      </w:r>
      <w:proofErr w:type="spellStart"/>
      <w:r>
        <w:t>Meningkatkan</w:t>
      </w:r>
      <w:proofErr w:type="spellEnd"/>
      <w:r>
        <w:t xml:space="preserve"> </w:t>
      </w:r>
      <w:proofErr w:type="spellStart"/>
      <w:r>
        <w:t>Motivasi</w:t>
      </w:r>
      <w:proofErr w:type="spellEnd"/>
      <w:r>
        <w:t xml:space="preserve"> </w:t>
      </w:r>
      <w:proofErr w:type="spellStart"/>
      <w:r>
        <w:t>Belajar</w:t>
      </w:r>
      <w:proofErr w:type="spellEnd"/>
      <w:r>
        <w:t xml:space="preserve"> </w:t>
      </w:r>
      <w:proofErr w:type="spellStart"/>
      <w:r>
        <w:t>Siswa</w:t>
      </w:r>
      <w:proofErr w:type="spellEnd"/>
      <w:r>
        <w:t xml:space="preserve"> </w:t>
      </w:r>
      <w:proofErr w:type="spellStart"/>
      <w:r>
        <w:t>Sekolah</w:t>
      </w:r>
      <w:proofErr w:type="spellEnd"/>
      <w:r>
        <w:t xml:space="preserve"> </w:t>
      </w:r>
      <w:proofErr w:type="spellStart"/>
      <w:r>
        <w:t>Dasar</w:t>
      </w:r>
      <w:proofErr w:type="spellEnd"/>
      <w:r>
        <w:t xml:space="preserve">. </w:t>
      </w:r>
      <w:proofErr w:type="spellStart"/>
      <w:r>
        <w:t>Edukatif</w:t>
      </w:r>
      <w:proofErr w:type="spellEnd"/>
      <w:r>
        <w:t xml:space="preserve">: </w:t>
      </w:r>
      <w:proofErr w:type="spellStart"/>
      <w:r>
        <w:t>JurnalIlmu</w:t>
      </w:r>
      <w:proofErr w:type="spellEnd"/>
      <w:r>
        <w:t xml:space="preserve"> </w:t>
      </w:r>
      <w:proofErr w:type="spellStart"/>
      <w:r>
        <w:t>Pendidikan</w:t>
      </w:r>
      <w:proofErr w:type="spellEnd"/>
      <w:r>
        <w:t xml:space="preserve">, 3(3), 785-793 </w:t>
      </w:r>
    </w:p>
    <w:p w:rsidR="0001574D" w:rsidRDefault="0001574D" w:rsidP="0001574D">
      <w:pPr>
        <w:pStyle w:val="biolockreference"/>
      </w:pPr>
      <w:proofErr w:type="spellStart"/>
      <w:r>
        <w:t>Widiyasanti</w:t>
      </w:r>
      <w:proofErr w:type="spellEnd"/>
      <w:r>
        <w:t xml:space="preserve"> </w:t>
      </w:r>
      <w:proofErr w:type="spellStart"/>
      <w:r>
        <w:t>dan</w:t>
      </w:r>
      <w:proofErr w:type="spellEnd"/>
      <w:r>
        <w:t xml:space="preserve"> </w:t>
      </w:r>
      <w:proofErr w:type="spellStart"/>
      <w:r>
        <w:t>Yulia</w:t>
      </w:r>
      <w:proofErr w:type="spellEnd"/>
      <w:r>
        <w:t xml:space="preserve"> </w:t>
      </w:r>
      <w:proofErr w:type="spellStart"/>
      <w:r>
        <w:t>Ayriza</w:t>
      </w:r>
      <w:proofErr w:type="spellEnd"/>
      <w:r>
        <w:t xml:space="preserve">. (2018). </w:t>
      </w:r>
      <w:proofErr w:type="spellStart"/>
      <w:r>
        <w:t>Pengembangan</w:t>
      </w:r>
      <w:proofErr w:type="spellEnd"/>
      <w:r>
        <w:t xml:space="preserve"> Media Video </w:t>
      </w:r>
      <w:proofErr w:type="spellStart"/>
      <w:r>
        <w:t>Animasi</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Motivasi</w:t>
      </w:r>
      <w:proofErr w:type="spellEnd"/>
      <w:r>
        <w:t xml:space="preserve"> </w:t>
      </w:r>
      <w:proofErr w:type="spellStart"/>
      <w:r>
        <w:t>Belajar</w:t>
      </w:r>
      <w:proofErr w:type="spellEnd"/>
      <w:r>
        <w:t xml:space="preserve"> </w:t>
      </w:r>
      <w:proofErr w:type="spellStart"/>
      <w:r>
        <w:t>dan</w:t>
      </w:r>
      <w:proofErr w:type="spellEnd"/>
      <w:r>
        <w:t xml:space="preserve"> </w:t>
      </w:r>
      <w:proofErr w:type="spellStart"/>
      <w:r>
        <w:t>Karakter</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Siswa</w:t>
      </w:r>
      <w:proofErr w:type="spellEnd"/>
      <w:r>
        <w:t xml:space="preserve"> </w:t>
      </w:r>
      <w:proofErr w:type="spellStart"/>
      <w:r>
        <w:t>Kelas</w:t>
      </w:r>
      <w:proofErr w:type="spellEnd"/>
      <w:r>
        <w:t xml:space="preserve"> V. </w:t>
      </w:r>
      <w:proofErr w:type="spellStart"/>
      <w:r>
        <w:t>Jurnal</w:t>
      </w:r>
      <w:proofErr w:type="spellEnd"/>
      <w:r>
        <w:t xml:space="preserve"> </w:t>
      </w:r>
      <w:proofErr w:type="spellStart"/>
      <w:r>
        <w:t>Pendidikan</w:t>
      </w:r>
      <w:proofErr w:type="spellEnd"/>
      <w:r>
        <w:t xml:space="preserve"> </w:t>
      </w:r>
      <w:proofErr w:type="spellStart"/>
      <w:r>
        <w:t>Karakter</w:t>
      </w:r>
      <w:proofErr w:type="spellEnd"/>
      <w:r>
        <w:t xml:space="preserve">, </w:t>
      </w:r>
      <w:proofErr w:type="spellStart"/>
      <w:r>
        <w:t>Tahun</w:t>
      </w:r>
      <w:proofErr w:type="spellEnd"/>
      <w:r>
        <w:t xml:space="preserve"> VIII, </w:t>
      </w:r>
      <w:proofErr w:type="spellStart"/>
      <w:r>
        <w:t>Nomor</w:t>
      </w:r>
      <w:proofErr w:type="spellEnd"/>
      <w:r>
        <w:t xml:space="preserve"> 1. Yogyakarta, UNY.</w:t>
      </w:r>
    </w:p>
    <w:p w:rsidR="0001574D" w:rsidRDefault="0001574D" w:rsidP="0001574D">
      <w:pPr>
        <w:pStyle w:val="biolockreference"/>
      </w:pPr>
      <w:proofErr w:type="spellStart"/>
      <w:r>
        <w:t>Kartimi</w:t>
      </w:r>
      <w:proofErr w:type="spellEnd"/>
      <w:r>
        <w:t xml:space="preserve">, </w:t>
      </w:r>
      <w:proofErr w:type="spellStart"/>
      <w:r>
        <w:t>Liliasari</w:t>
      </w:r>
      <w:proofErr w:type="spellEnd"/>
      <w:r>
        <w:t>. 2012. “</w:t>
      </w:r>
      <w:proofErr w:type="spellStart"/>
      <w:r>
        <w:t>Jurnal</w:t>
      </w:r>
      <w:proofErr w:type="spellEnd"/>
      <w:r>
        <w:t xml:space="preserve"> </w:t>
      </w:r>
      <w:proofErr w:type="spellStart"/>
      <w:r>
        <w:t>Pendidikan</w:t>
      </w:r>
      <w:proofErr w:type="spellEnd"/>
      <w:r>
        <w:t xml:space="preserve"> IPA Indonesia.” 1(1): 21–26. https://journal.unnes.ac.id/nju/index.php/jpii/art </w:t>
      </w:r>
      <w:proofErr w:type="spellStart"/>
      <w:r>
        <w:t>icle</w:t>
      </w:r>
      <w:proofErr w:type="spellEnd"/>
      <w:r>
        <w:t>/view/2008/2122</w:t>
      </w:r>
    </w:p>
    <w:p w:rsidR="0001574D" w:rsidRDefault="0001574D" w:rsidP="0001574D">
      <w:pPr>
        <w:pStyle w:val="biolockreference"/>
      </w:pPr>
      <w:proofErr w:type="spellStart"/>
      <w:r>
        <w:t>Pratiwi</w:t>
      </w:r>
      <w:proofErr w:type="spellEnd"/>
      <w:r>
        <w:t xml:space="preserve">, N. P. E. Y., </w:t>
      </w:r>
      <w:proofErr w:type="spellStart"/>
      <w:r>
        <w:t>Pudjawan</w:t>
      </w:r>
      <w:proofErr w:type="spellEnd"/>
      <w:r>
        <w:t xml:space="preserve">, K., &amp; </w:t>
      </w:r>
      <w:proofErr w:type="spellStart"/>
      <w:r>
        <w:t>Sukmana</w:t>
      </w:r>
      <w:proofErr w:type="spellEnd"/>
      <w:r>
        <w:t xml:space="preserve">, A. I. W. I. Y. (2018). </w:t>
      </w:r>
      <w:proofErr w:type="spellStart"/>
      <w:r>
        <w:t>Pengembangan</w:t>
      </w:r>
      <w:proofErr w:type="spellEnd"/>
      <w:r>
        <w:t xml:space="preserve"> Multimedia </w:t>
      </w:r>
      <w:proofErr w:type="spellStart"/>
      <w:r>
        <w:t>Pembelajaran</w:t>
      </w:r>
      <w:proofErr w:type="spellEnd"/>
      <w:r>
        <w:t xml:space="preserve"> </w:t>
      </w:r>
      <w:proofErr w:type="spellStart"/>
      <w:r>
        <w:t>Interaktif</w:t>
      </w:r>
      <w:proofErr w:type="spellEnd"/>
      <w:r>
        <w:t xml:space="preserve"> </w:t>
      </w:r>
      <w:proofErr w:type="spellStart"/>
      <w:r>
        <w:t>Berbasis</w:t>
      </w:r>
      <w:proofErr w:type="spellEnd"/>
      <w:r>
        <w:t xml:space="preserve"> </w:t>
      </w:r>
      <w:proofErr w:type="spellStart"/>
      <w:r>
        <w:t>Proyek</w:t>
      </w:r>
      <w:proofErr w:type="spellEnd"/>
      <w:r>
        <w:t xml:space="preserve"> </w:t>
      </w:r>
      <w:proofErr w:type="spellStart"/>
      <w:r>
        <w:t>pada</w:t>
      </w:r>
      <w:proofErr w:type="spellEnd"/>
      <w:r>
        <w:t xml:space="preserve"> Mata </w:t>
      </w:r>
      <w:proofErr w:type="spellStart"/>
      <w:r>
        <w:t>Pelajaran</w:t>
      </w:r>
      <w:proofErr w:type="spellEnd"/>
      <w:r>
        <w:t xml:space="preserve"> Bahasa Indonesia </w:t>
      </w:r>
      <w:proofErr w:type="spellStart"/>
      <w:r>
        <w:t>pada</w:t>
      </w:r>
      <w:proofErr w:type="spellEnd"/>
      <w:r>
        <w:t xml:space="preserve"> </w:t>
      </w:r>
      <w:proofErr w:type="spellStart"/>
      <w:r>
        <w:t>Siswa</w:t>
      </w:r>
      <w:proofErr w:type="spellEnd"/>
      <w:r>
        <w:t xml:space="preserve"> </w:t>
      </w:r>
      <w:proofErr w:type="spellStart"/>
      <w:r>
        <w:t>Kelas</w:t>
      </w:r>
      <w:proofErr w:type="spellEnd"/>
      <w:r>
        <w:t xml:space="preserve"> V. </w:t>
      </w:r>
      <w:proofErr w:type="spellStart"/>
      <w:r>
        <w:t>Jurnal</w:t>
      </w:r>
      <w:proofErr w:type="spellEnd"/>
      <w:r>
        <w:t xml:space="preserve"> </w:t>
      </w:r>
      <w:proofErr w:type="spellStart"/>
      <w:r>
        <w:t>Edutech</w:t>
      </w:r>
      <w:proofErr w:type="spellEnd"/>
      <w:r>
        <w:t xml:space="preserve"> </w:t>
      </w:r>
      <w:proofErr w:type="spellStart"/>
      <w:r>
        <w:t>Undiksha</w:t>
      </w:r>
      <w:proofErr w:type="spellEnd"/>
      <w:r>
        <w:t>, 6(1), 123–133. https://doi.org/10.23887/jeu.v6i1.20277</w:t>
      </w:r>
    </w:p>
    <w:p w:rsidR="0001574D" w:rsidRDefault="0001574D" w:rsidP="0001574D">
      <w:pPr>
        <w:pStyle w:val="biolockreference"/>
      </w:pPr>
      <w:proofErr w:type="spellStart"/>
      <w:r>
        <w:t>Pratiwi</w:t>
      </w:r>
      <w:proofErr w:type="spellEnd"/>
      <w:r>
        <w:t xml:space="preserve">, S. S., </w:t>
      </w:r>
      <w:proofErr w:type="spellStart"/>
      <w:r>
        <w:t>Setiani</w:t>
      </w:r>
      <w:proofErr w:type="spellEnd"/>
      <w:r>
        <w:t xml:space="preserve">, A., &amp; </w:t>
      </w:r>
      <w:proofErr w:type="spellStart"/>
      <w:r>
        <w:t>Nurcahyono</w:t>
      </w:r>
      <w:proofErr w:type="spellEnd"/>
      <w:r>
        <w:t xml:space="preserve">, N. A. (2020). </w:t>
      </w:r>
      <w:proofErr w:type="spellStart"/>
      <w:r>
        <w:t>Pengembangan</w:t>
      </w:r>
      <w:proofErr w:type="spellEnd"/>
      <w:r>
        <w:t xml:space="preserve"> Media </w:t>
      </w:r>
      <w:proofErr w:type="spellStart"/>
      <w:r>
        <w:t>Pembelajaran</w:t>
      </w:r>
      <w:proofErr w:type="spellEnd"/>
      <w:r>
        <w:t xml:space="preserve"> </w:t>
      </w:r>
      <w:proofErr w:type="spellStart"/>
      <w:r>
        <w:t>Interaktif</w:t>
      </w:r>
      <w:proofErr w:type="spellEnd"/>
      <w:r>
        <w:t xml:space="preserve"> </w:t>
      </w:r>
      <w:proofErr w:type="spellStart"/>
      <w:r>
        <w:t>Berbasis</w:t>
      </w:r>
      <w:proofErr w:type="spellEnd"/>
      <w:r>
        <w:t xml:space="preserve"> Adobe Flash Cs3 Professional </w:t>
      </w:r>
      <w:proofErr w:type="spellStart"/>
      <w:r>
        <w:t>Pada</w:t>
      </w:r>
      <w:proofErr w:type="spellEnd"/>
      <w:r>
        <w:t xml:space="preserve"> </w:t>
      </w:r>
      <w:proofErr w:type="spellStart"/>
      <w:r>
        <w:t>Materi</w:t>
      </w:r>
      <w:proofErr w:type="spellEnd"/>
      <w:r>
        <w:t xml:space="preserve"> </w:t>
      </w:r>
      <w:proofErr w:type="spellStart"/>
      <w:r>
        <w:t>Penyajian</w:t>
      </w:r>
      <w:proofErr w:type="spellEnd"/>
      <w:r>
        <w:t xml:space="preserve"> Data. De </w:t>
      </w:r>
      <w:proofErr w:type="gramStart"/>
      <w:r>
        <w:t>Fermat</w:t>
      </w:r>
      <w:r>
        <w:rPr>
          <w:rFonts w:ascii="Arial" w:hAnsi="Arial" w:cs="Arial"/>
        </w:rPr>
        <w:t> </w:t>
      </w:r>
      <w:r>
        <w:t>:</w:t>
      </w:r>
      <w:proofErr w:type="gramEnd"/>
      <w:r>
        <w:t xml:space="preserve"> </w:t>
      </w:r>
      <w:proofErr w:type="spellStart"/>
      <w:r>
        <w:t>Jurnal</w:t>
      </w:r>
      <w:proofErr w:type="spellEnd"/>
      <w:r>
        <w:t xml:space="preserve"> </w:t>
      </w:r>
      <w:proofErr w:type="spellStart"/>
      <w:r>
        <w:t>Pendidikan</w:t>
      </w:r>
      <w:proofErr w:type="spellEnd"/>
      <w:r>
        <w:t xml:space="preserve"> </w:t>
      </w:r>
      <w:proofErr w:type="spellStart"/>
      <w:r>
        <w:t>Matematika</w:t>
      </w:r>
      <w:proofErr w:type="spellEnd"/>
      <w:r>
        <w:t>, 2(2), 70</w:t>
      </w:r>
      <w:r>
        <w:rPr>
          <w:rFonts w:cs="Candara"/>
        </w:rPr>
        <w:t>–</w:t>
      </w:r>
      <w:r>
        <w:t xml:space="preserve">76. https://doi.org/10.36277/defermat.v2i2.43 </w:t>
      </w:r>
    </w:p>
    <w:p w:rsidR="00F40002" w:rsidRPr="00AF087C" w:rsidRDefault="0001574D" w:rsidP="0001574D">
      <w:pPr>
        <w:pStyle w:val="biolockreference"/>
      </w:pPr>
      <w:proofErr w:type="spellStart"/>
      <w:r>
        <w:t>Sastradewi</w:t>
      </w:r>
      <w:proofErr w:type="spellEnd"/>
      <w:r>
        <w:t xml:space="preserve">. N.M.P </w:t>
      </w:r>
      <w:proofErr w:type="spellStart"/>
      <w:r>
        <w:t>dan</w:t>
      </w:r>
      <w:proofErr w:type="spellEnd"/>
      <w:r>
        <w:t xml:space="preserve"> </w:t>
      </w:r>
      <w:proofErr w:type="spellStart"/>
      <w:r>
        <w:t>Agung</w:t>
      </w:r>
      <w:proofErr w:type="spellEnd"/>
      <w:r>
        <w:t xml:space="preserve">. A.A.G., (2022), </w:t>
      </w:r>
      <w:proofErr w:type="spellStart"/>
      <w:r>
        <w:t>Meningkatkan</w:t>
      </w:r>
      <w:proofErr w:type="spellEnd"/>
      <w:r>
        <w:t xml:space="preserve"> </w:t>
      </w:r>
      <w:proofErr w:type="spellStart"/>
      <w:r>
        <w:t>Kemampuan</w:t>
      </w:r>
      <w:proofErr w:type="spellEnd"/>
      <w:r>
        <w:t xml:space="preserve"> </w:t>
      </w:r>
      <w:proofErr w:type="spellStart"/>
      <w:r>
        <w:t>Berfikir</w:t>
      </w:r>
      <w:proofErr w:type="spellEnd"/>
      <w:r>
        <w:t xml:space="preserve"> </w:t>
      </w:r>
      <w:proofErr w:type="spellStart"/>
      <w:r>
        <w:t>Kritis</w:t>
      </w:r>
      <w:proofErr w:type="spellEnd"/>
      <w:r>
        <w:t xml:space="preserve"> </w:t>
      </w:r>
      <w:proofErr w:type="spellStart"/>
      <w:r>
        <w:t>Siswa</w:t>
      </w:r>
      <w:proofErr w:type="spellEnd"/>
      <w:r>
        <w:t xml:space="preserve"> </w:t>
      </w:r>
      <w:proofErr w:type="spellStart"/>
      <w:r>
        <w:t>Melalui</w:t>
      </w:r>
      <w:proofErr w:type="spellEnd"/>
      <w:r>
        <w:t xml:space="preserve"> Multimedia </w:t>
      </w:r>
      <w:proofErr w:type="spellStart"/>
      <w:r>
        <w:t>Interaktif</w:t>
      </w:r>
      <w:proofErr w:type="spellEnd"/>
      <w:r>
        <w:t xml:space="preserve"> </w:t>
      </w:r>
      <w:proofErr w:type="spellStart"/>
      <w:r>
        <w:t>Berbasis</w:t>
      </w:r>
      <w:proofErr w:type="spellEnd"/>
      <w:r>
        <w:t xml:space="preserve"> Problem Solving </w:t>
      </w:r>
      <w:proofErr w:type="spellStart"/>
      <w:r>
        <w:t>pada</w:t>
      </w:r>
      <w:proofErr w:type="spellEnd"/>
      <w:r>
        <w:t xml:space="preserve"> </w:t>
      </w:r>
      <w:proofErr w:type="spellStart"/>
      <w:r>
        <w:t>Muatan</w:t>
      </w:r>
      <w:proofErr w:type="spellEnd"/>
      <w:r>
        <w:t xml:space="preserve"> IPA, </w:t>
      </w:r>
      <w:proofErr w:type="spellStart"/>
      <w:r>
        <w:t>Jurnal</w:t>
      </w:r>
      <w:proofErr w:type="spellEnd"/>
      <w:r>
        <w:t xml:space="preserve"> Media </w:t>
      </w:r>
      <w:proofErr w:type="spellStart"/>
      <w:r>
        <w:t>dan</w:t>
      </w:r>
      <w:proofErr w:type="spellEnd"/>
      <w:r>
        <w:t xml:space="preserve"> </w:t>
      </w:r>
      <w:proofErr w:type="spellStart"/>
      <w:r>
        <w:t>Teknologi</w:t>
      </w:r>
      <w:proofErr w:type="spellEnd"/>
      <w:r>
        <w:t xml:space="preserve"> </w:t>
      </w:r>
      <w:proofErr w:type="spellStart"/>
      <w:r>
        <w:t>Pendidikan</w:t>
      </w:r>
      <w:proofErr w:type="spellEnd"/>
      <w:r>
        <w:t xml:space="preserve"> Volume 2, Number 1, </w:t>
      </w:r>
      <w:proofErr w:type="spellStart"/>
      <w:r>
        <w:t>Tahun</w:t>
      </w:r>
      <w:proofErr w:type="spellEnd"/>
      <w:r>
        <w:t xml:space="preserve"> 2022, pp. 10-19 E-ISSN: 2798-0006 Open Access: https://doi.org/10.23887/jmt.v2i1.44855</w:t>
      </w:r>
    </w:p>
    <w:sectPr w:rsidR="00F40002" w:rsidRPr="00AF087C" w:rsidSect="00A53AD6">
      <w:headerReference w:type="even" r:id="rId15"/>
      <w:headerReference w:type="default" r:id="rId16"/>
      <w:footerReference w:type="even" r:id="rId17"/>
      <w:footerReference w:type="default" r:id="rId18"/>
      <w:footerReference w:type="first" r:id="rId19"/>
      <w:pgSz w:w="11907" w:h="16840" w:code="9"/>
      <w:pgMar w:top="1440" w:right="1440" w:bottom="1440" w:left="1440" w:header="720" w:footer="720" w:gutter="0"/>
      <w:pgNumType w:start="3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D41" w:rsidRDefault="00121D41" w:rsidP="004844A2">
      <w:pPr>
        <w:spacing w:after="0" w:line="240" w:lineRule="auto"/>
      </w:pPr>
      <w:r>
        <w:separator/>
      </w:r>
    </w:p>
  </w:endnote>
  <w:endnote w:type="continuationSeparator" w:id="0">
    <w:p w:rsidR="00121D41" w:rsidRDefault="00121D41" w:rsidP="00484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A2" w:rsidRPr="004844A2" w:rsidRDefault="004844A2" w:rsidP="004844A2">
    <w:pPr>
      <w:pStyle w:val="Footer"/>
      <w:jc w:val="center"/>
      <w:rPr>
        <w:sz w:val="16"/>
        <w:szCs w:val="16"/>
      </w:rPr>
    </w:pPr>
    <w:r w:rsidRPr="004844A2">
      <w:rPr>
        <w:sz w:val="16"/>
        <w:szCs w:val="16"/>
      </w:rPr>
      <w:fldChar w:fldCharType="begin"/>
    </w:r>
    <w:r w:rsidRPr="004844A2">
      <w:rPr>
        <w:sz w:val="16"/>
        <w:szCs w:val="16"/>
      </w:rPr>
      <w:instrText xml:space="preserve"> STYLEREF  biolock_license  \* MERGEFORMAT </w:instrText>
    </w:r>
    <w:r w:rsidRPr="004844A2">
      <w:rPr>
        <w:sz w:val="16"/>
        <w:szCs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A2" w:rsidRPr="004844A2" w:rsidRDefault="004844A2" w:rsidP="004844A2">
    <w:pPr>
      <w:pStyle w:val="Footer"/>
      <w:jc w:val="center"/>
      <w:rPr>
        <w:sz w:val="16"/>
        <w:szCs w:val="16"/>
      </w:rPr>
    </w:pPr>
    <w:r w:rsidRPr="004844A2">
      <w:rPr>
        <w:sz w:val="16"/>
        <w:szCs w:val="16"/>
      </w:rPr>
      <w:fldChar w:fldCharType="begin"/>
    </w:r>
    <w:r w:rsidRPr="004844A2">
      <w:rPr>
        <w:sz w:val="16"/>
        <w:szCs w:val="16"/>
      </w:rPr>
      <w:instrText xml:space="preserve"> STYLEREF  biolock_publisher  \* MERGEFORMAT </w:instrText>
    </w:r>
    <w:r w:rsidRPr="004844A2">
      <w:rPr>
        <w:sz w:val="16"/>
        <w:szCs w:val="16"/>
      </w:rPr>
      <w:fldChar w:fldCharType="separate"/>
    </w:r>
    <w:r w:rsidR="00A53AD6">
      <w:rPr>
        <w:noProof/>
        <w:sz w:val="16"/>
        <w:szCs w:val="16"/>
      </w:rPr>
      <w:t>Published by CV. Auliantech</w:t>
    </w:r>
    <w:r w:rsidRPr="004844A2">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283536589"/>
      <w:docPartObj>
        <w:docPartGallery w:val="Page Numbers (Bottom of Page)"/>
        <w:docPartUnique/>
      </w:docPartObj>
    </w:sdtPr>
    <w:sdtEndPr>
      <w:rPr>
        <w:noProof/>
      </w:rPr>
    </w:sdtEndPr>
    <w:sdtContent>
      <w:p w:rsidR="001C6A29" w:rsidRPr="001C6A29" w:rsidRDefault="001C6A29">
        <w:pPr>
          <w:pStyle w:val="Footer"/>
          <w:jc w:val="center"/>
          <w:rPr>
            <w:b/>
          </w:rPr>
        </w:pPr>
        <w:r w:rsidRPr="001C6A29">
          <w:rPr>
            <w:b/>
          </w:rPr>
          <w:fldChar w:fldCharType="begin"/>
        </w:r>
        <w:r w:rsidRPr="001C6A29">
          <w:rPr>
            <w:b/>
          </w:rPr>
          <w:instrText xml:space="preserve"> PAGE   \* MERGEFORMAT </w:instrText>
        </w:r>
        <w:r w:rsidRPr="001C6A29">
          <w:rPr>
            <w:b/>
          </w:rPr>
          <w:fldChar w:fldCharType="separate"/>
        </w:r>
        <w:r w:rsidR="00A53AD6">
          <w:rPr>
            <w:b/>
            <w:noProof/>
          </w:rPr>
          <w:t>30</w:t>
        </w:r>
        <w:r w:rsidRPr="001C6A29">
          <w:rPr>
            <w:b/>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D41" w:rsidRDefault="00121D41" w:rsidP="004844A2">
      <w:pPr>
        <w:spacing w:after="0" w:line="240" w:lineRule="auto"/>
      </w:pPr>
      <w:r>
        <w:separator/>
      </w:r>
    </w:p>
  </w:footnote>
  <w:footnote w:type="continuationSeparator" w:id="0">
    <w:p w:rsidR="00121D41" w:rsidRDefault="00121D41" w:rsidP="004844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2552330"/>
      <w:docPartObj>
        <w:docPartGallery w:val="Page Numbers (Top of Page)"/>
        <w:docPartUnique/>
      </w:docPartObj>
    </w:sdtPr>
    <w:sdtEndPr>
      <w:rPr>
        <w:color w:val="7F7F7F" w:themeColor="background1" w:themeShade="7F"/>
        <w:spacing w:val="60"/>
      </w:rPr>
    </w:sdtEndPr>
    <w:sdtContent>
      <w:p w:rsidR="004844A2" w:rsidRDefault="004844A2">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A53AD6" w:rsidRPr="00A53AD6">
          <w:rPr>
            <w:b/>
            <w:bCs/>
            <w:noProof/>
          </w:rPr>
          <w:t>32</w:t>
        </w:r>
        <w:r>
          <w:rPr>
            <w:b/>
            <w:bCs/>
            <w:noProof/>
          </w:rPr>
          <w:fldChar w:fldCharType="end"/>
        </w:r>
        <w:r>
          <w:rPr>
            <w:b/>
            <w:bCs/>
          </w:rPr>
          <w:t xml:space="preserve"> | </w:t>
        </w:r>
        <w:r w:rsidRPr="00481636">
          <w:rPr>
            <w:color w:val="7F7F7F" w:themeColor="background1" w:themeShade="7F"/>
            <w:sz w:val="20"/>
          </w:rPr>
          <w:fldChar w:fldCharType="begin"/>
        </w:r>
        <w:r w:rsidRPr="00481636">
          <w:rPr>
            <w:color w:val="7F7F7F" w:themeColor="background1" w:themeShade="7F"/>
            <w:sz w:val="20"/>
          </w:rPr>
          <w:instrText xml:space="preserve"> STYLEREF  biolock_penulis  \* MERGEFORMAT </w:instrText>
        </w:r>
        <w:r w:rsidRPr="00481636">
          <w:rPr>
            <w:color w:val="7F7F7F" w:themeColor="background1" w:themeShade="7F"/>
            <w:sz w:val="20"/>
          </w:rPr>
          <w:fldChar w:fldCharType="separate"/>
        </w:r>
        <w:r w:rsidR="00A53AD6" w:rsidRPr="00A53AD6">
          <w:rPr>
            <w:bCs/>
            <w:noProof/>
            <w:color w:val="7F7F7F" w:themeColor="background1" w:themeShade="7F"/>
            <w:sz w:val="20"/>
          </w:rPr>
          <w:t>Nadiah Giade1, Rukiah Lubis2,</w:t>
        </w:r>
        <w:r w:rsidR="00A53AD6">
          <w:rPr>
            <w:noProof/>
            <w:color w:val="7F7F7F" w:themeColor="background1" w:themeShade="7F"/>
            <w:sz w:val="20"/>
          </w:rPr>
          <w:t xml:space="preserve"> Pariyanto3</w:t>
        </w:r>
        <w:r w:rsidRPr="00481636">
          <w:rPr>
            <w:color w:val="7F7F7F" w:themeColor="background1" w:themeShade="7F"/>
            <w:sz w:val="20"/>
          </w:rPr>
          <w:fldChar w:fldCharType="end"/>
        </w:r>
      </w:p>
    </w:sdtContent>
  </w:sdt>
  <w:p w:rsidR="004844A2" w:rsidRDefault="004844A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4A2" w:rsidRDefault="004844A2">
    <w:pPr>
      <w:pStyle w:val="Header"/>
      <w:pBdr>
        <w:bottom w:val="single" w:sz="4" w:space="1" w:color="D9D9D9" w:themeColor="background1" w:themeShade="D9"/>
      </w:pBdr>
      <w:jc w:val="right"/>
      <w:rPr>
        <w:b/>
        <w:bCs/>
      </w:rPr>
    </w:pPr>
    <w:r w:rsidRPr="004844A2">
      <w:rPr>
        <w:color w:val="7F7F7F" w:themeColor="background1" w:themeShade="7F"/>
        <w:sz w:val="20"/>
      </w:rPr>
      <w:fldChar w:fldCharType="begin"/>
    </w:r>
    <w:r w:rsidRPr="004844A2">
      <w:rPr>
        <w:color w:val="7F7F7F" w:themeColor="background1" w:themeShade="7F"/>
        <w:sz w:val="20"/>
      </w:rPr>
      <w:instrText xml:space="preserve"> STYLEREF  biolock_volume  \* MERGEFORMAT </w:instrText>
    </w:r>
    <w:r w:rsidRPr="004844A2">
      <w:rPr>
        <w:color w:val="7F7F7F" w:themeColor="background1" w:themeShade="7F"/>
        <w:sz w:val="20"/>
      </w:rPr>
      <w:fldChar w:fldCharType="separate"/>
    </w:r>
    <w:r w:rsidR="00A53AD6">
      <w:rPr>
        <w:noProof/>
        <w:color w:val="7F7F7F" w:themeColor="background1" w:themeShade="7F"/>
        <w:sz w:val="20"/>
      </w:rPr>
      <w:t>Vol. 1, No. 1, 2026 | Pages 30-37</w:t>
    </w:r>
    <w:r w:rsidRPr="004844A2">
      <w:rPr>
        <w:color w:val="7F7F7F" w:themeColor="background1" w:themeShade="7F"/>
        <w:sz w:val="20"/>
      </w:rPr>
      <w:fldChar w:fldCharType="end"/>
    </w:r>
    <w:r>
      <w:rPr>
        <w:color w:val="7F7F7F" w:themeColor="background1" w:themeShade="7F"/>
        <w:spacing w:val="60"/>
      </w:rPr>
      <w:t xml:space="preserve"> </w:t>
    </w:r>
    <w:sdt>
      <w:sdtPr>
        <w:rPr>
          <w:color w:val="7F7F7F" w:themeColor="background1" w:themeShade="7F"/>
          <w:spacing w:val="60"/>
        </w:rPr>
        <w:id w:val="-1047056601"/>
        <w:docPartObj>
          <w:docPartGallery w:val="Page Numbers (Top of Page)"/>
          <w:docPartUnique/>
        </w:docPartObj>
      </w:sdtPr>
      <w:sdtEndPr>
        <w:rPr>
          <w:b/>
          <w:bCs/>
          <w:noProof/>
          <w:color w:val="auto"/>
          <w:spacing w:val="0"/>
        </w:rPr>
      </w:sdtEndPr>
      <w:sdtContent>
        <w:r>
          <w:t xml:space="preserve">| </w:t>
        </w:r>
        <w:r>
          <w:fldChar w:fldCharType="begin"/>
        </w:r>
        <w:r>
          <w:instrText xml:space="preserve"> PAGE   \* MERGEFORMAT </w:instrText>
        </w:r>
        <w:r>
          <w:fldChar w:fldCharType="separate"/>
        </w:r>
        <w:r w:rsidR="00A53AD6" w:rsidRPr="00A53AD6">
          <w:rPr>
            <w:b/>
            <w:bCs/>
            <w:noProof/>
          </w:rPr>
          <w:t>31</w:t>
        </w:r>
        <w:r>
          <w:rPr>
            <w:b/>
            <w:bCs/>
            <w:noProof/>
          </w:rPr>
          <w:fldChar w:fldCharType="end"/>
        </w:r>
      </w:sdtContent>
    </w:sdt>
  </w:p>
  <w:p w:rsidR="004844A2" w:rsidRDefault="004844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37A"/>
    <w:rsid w:val="0001574D"/>
    <w:rsid w:val="000629DE"/>
    <w:rsid w:val="00121D41"/>
    <w:rsid w:val="00186FAA"/>
    <w:rsid w:val="001C0EB7"/>
    <w:rsid w:val="001C6A29"/>
    <w:rsid w:val="00321E99"/>
    <w:rsid w:val="00361ACD"/>
    <w:rsid w:val="00465AA4"/>
    <w:rsid w:val="00481636"/>
    <w:rsid w:val="004844A2"/>
    <w:rsid w:val="004D2F41"/>
    <w:rsid w:val="004F50E1"/>
    <w:rsid w:val="00540AFE"/>
    <w:rsid w:val="00545B00"/>
    <w:rsid w:val="00601ABE"/>
    <w:rsid w:val="006A137A"/>
    <w:rsid w:val="006E75D7"/>
    <w:rsid w:val="0078635E"/>
    <w:rsid w:val="00827248"/>
    <w:rsid w:val="00833C4A"/>
    <w:rsid w:val="00857C41"/>
    <w:rsid w:val="00947195"/>
    <w:rsid w:val="009B316D"/>
    <w:rsid w:val="00A53AD6"/>
    <w:rsid w:val="00AF087C"/>
    <w:rsid w:val="00B15307"/>
    <w:rsid w:val="00C00A0A"/>
    <w:rsid w:val="00C8377F"/>
    <w:rsid w:val="00DD1574"/>
    <w:rsid w:val="00EA21C0"/>
    <w:rsid w:val="00EB152B"/>
    <w:rsid w:val="00EF1E39"/>
    <w:rsid w:val="00F3499A"/>
    <w:rsid w:val="00F40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50C90"/>
  <w15:chartTrackingRefBased/>
  <w15:docId w15:val="{E17639E7-AAFC-4A49-87F6-03DA38A0D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A1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olockvolume">
    <w:name w:val="biolock_volume"/>
    <w:basedOn w:val="Normal"/>
    <w:qFormat/>
    <w:rsid w:val="00186FAA"/>
    <w:pPr>
      <w:spacing w:after="0" w:line="240" w:lineRule="auto"/>
      <w:jc w:val="right"/>
    </w:pPr>
    <w:rPr>
      <w:rFonts w:ascii="Candara" w:hAnsi="Candara"/>
      <w:sz w:val="16"/>
    </w:rPr>
  </w:style>
  <w:style w:type="paragraph" w:customStyle="1" w:styleId="biolockissn">
    <w:name w:val="biolock_issn"/>
    <w:basedOn w:val="Normal"/>
    <w:qFormat/>
    <w:rsid w:val="00186FAA"/>
    <w:pPr>
      <w:spacing w:after="0" w:line="240" w:lineRule="auto"/>
      <w:jc w:val="right"/>
    </w:pPr>
    <w:rPr>
      <w:rFonts w:ascii="Candara" w:hAnsi="Candara"/>
      <w:sz w:val="16"/>
    </w:rPr>
  </w:style>
  <w:style w:type="paragraph" w:customStyle="1" w:styleId="biolocklicense">
    <w:name w:val="biolock_license"/>
    <w:basedOn w:val="Normal"/>
    <w:qFormat/>
    <w:rsid w:val="00186FAA"/>
    <w:pPr>
      <w:spacing w:after="0" w:line="240" w:lineRule="auto"/>
      <w:jc w:val="right"/>
    </w:pPr>
    <w:rPr>
      <w:rFonts w:ascii="Candara" w:hAnsi="Candara"/>
      <w:sz w:val="16"/>
    </w:rPr>
  </w:style>
  <w:style w:type="paragraph" w:customStyle="1" w:styleId="biolockspasi">
    <w:name w:val="biolock_spasi"/>
    <w:basedOn w:val="Normal"/>
    <w:qFormat/>
    <w:rsid w:val="001C0EB7"/>
    <w:pPr>
      <w:spacing w:after="0" w:line="240" w:lineRule="auto"/>
    </w:pPr>
    <w:rPr>
      <w:sz w:val="28"/>
    </w:rPr>
  </w:style>
  <w:style w:type="paragraph" w:customStyle="1" w:styleId="biolockjudul">
    <w:name w:val="biolock_judul"/>
    <w:basedOn w:val="Normal"/>
    <w:qFormat/>
    <w:rsid w:val="001C0EB7"/>
    <w:pPr>
      <w:spacing w:after="0" w:line="240" w:lineRule="auto"/>
    </w:pPr>
    <w:rPr>
      <w:rFonts w:ascii="Candara" w:hAnsi="Candara"/>
      <w:b/>
      <w:sz w:val="32"/>
    </w:rPr>
  </w:style>
  <w:style w:type="paragraph" w:customStyle="1" w:styleId="biolockpenulis">
    <w:name w:val="biolock_penulis"/>
    <w:basedOn w:val="Normal"/>
    <w:qFormat/>
    <w:rsid w:val="001C0EB7"/>
    <w:pPr>
      <w:spacing w:after="0" w:line="240" w:lineRule="auto"/>
    </w:pPr>
    <w:rPr>
      <w:rFonts w:ascii="Candara" w:hAnsi="Candara"/>
      <w:b/>
      <w:sz w:val="24"/>
    </w:rPr>
  </w:style>
  <w:style w:type="paragraph" w:customStyle="1" w:styleId="biolockafiliasi">
    <w:name w:val="biolock_afiliasi"/>
    <w:basedOn w:val="Normal"/>
    <w:qFormat/>
    <w:rsid w:val="00EF1E39"/>
    <w:pPr>
      <w:spacing w:after="0" w:line="240" w:lineRule="auto"/>
    </w:pPr>
    <w:rPr>
      <w:rFonts w:ascii="Candara" w:hAnsi="Candara"/>
      <w:sz w:val="20"/>
    </w:rPr>
  </w:style>
  <w:style w:type="paragraph" w:customStyle="1" w:styleId="biolockemail">
    <w:name w:val="biolock_email"/>
    <w:basedOn w:val="Normal"/>
    <w:qFormat/>
    <w:rsid w:val="001C0EB7"/>
    <w:pPr>
      <w:spacing w:after="0" w:line="240" w:lineRule="auto"/>
    </w:pPr>
    <w:rPr>
      <w:rFonts w:ascii="Candara" w:hAnsi="Candara"/>
      <w:sz w:val="16"/>
      <w:szCs w:val="16"/>
    </w:rPr>
  </w:style>
  <w:style w:type="character" w:styleId="Hyperlink">
    <w:name w:val="Hyperlink"/>
    <w:basedOn w:val="DefaultParagraphFont"/>
    <w:uiPriority w:val="99"/>
    <w:unhideWhenUsed/>
    <w:rsid w:val="00EF1E39"/>
    <w:rPr>
      <w:color w:val="0563C1" w:themeColor="hyperlink"/>
      <w:u w:val="single"/>
    </w:rPr>
  </w:style>
  <w:style w:type="paragraph" w:customStyle="1" w:styleId="biolockpublisher">
    <w:name w:val="biolock_publisher"/>
    <w:basedOn w:val="Normal"/>
    <w:qFormat/>
    <w:rsid w:val="00186FAA"/>
    <w:pPr>
      <w:spacing w:after="0" w:line="240" w:lineRule="auto"/>
      <w:jc w:val="right"/>
    </w:pPr>
    <w:rPr>
      <w:rFonts w:ascii="Candara" w:hAnsi="Candara"/>
      <w:sz w:val="16"/>
    </w:rPr>
  </w:style>
  <w:style w:type="paragraph" w:customStyle="1" w:styleId="biolockurljurnal">
    <w:name w:val="biolock_url_jurnal"/>
    <w:basedOn w:val="Normal"/>
    <w:qFormat/>
    <w:rsid w:val="00186FAA"/>
    <w:pPr>
      <w:spacing w:after="0" w:line="240" w:lineRule="auto"/>
      <w:jc w:val="right"/>
    </w:pPr>
    <w:rPr>
      <w:rFonts w:ascii="Candara" w:hAnsi="Candara"/>
      <w:sz w:val="16"/>
    </w:rPr>
  </w:style>
  <w:style w:type="paragraph" w:customStyle="1" w:styleId="biolockbab">
    <w:name w:val="biolock_bab"/>
    <w:basedOn w:val="Normal"/>
    <w:qFormat/>
    <w:rsid w:val="00361ACD"/>
    <w:pPr>
      <w:spacing w:before="400" w:line="240" w:lineRule="auto"/>
    </w:pPr>
    <w:rPr>
      <w:rFonts w:ascii="Candara" w:hAnsi="Candara"/>
      <w:b/>
      <w:sz w:val="28"/>
    </w:rPr>
  </w:style>
  <w:style w:type="paragraph" w:customStyle="1" w:styleId="biolockisi">
    <w:name w:val="biolock_isi"/>
    <w:basedOn w:val="Normal"/>
    <w:qFormat/>
    <w:rsid w:val="00361ACD"/>
    <w:pPr>
      <w:spacing w:after="60" w:line="240" w:lineRule="auto"/>
      <w:ind w:firstLine="567"/>
      <w:jc w:val="both"/>
    </w:pPr>
    <w:rPr>
      <w:rFonts w:ascii="Candara" w:hAnsi="Candara"/>
    </w:rPr>
  </w:style>
  <w:style w:type="paragraph" w:customStyle="1" w:styleId="biolocksubbab">
    <w:name w:val="biolock_subbab"/>
    <w:basedOn w:val="Normal"/>
    <w:qFormat/>
    <w:rsid w:val="00361ACD"/>
    <w:pPr>
      <w:spacing w:before="100" w:after="60" w:line="240" w:lineRule="auto"/>
    </w:pPr>
    <w:rPr>
      <w:rFonts w:ascii="Candara" w:hAnsi="Candara"/>
      <w:b/>
      <w:sz w:val="24"/>
    </w:rPr>
  </w:style>
  <w:style w:type="paragraph" w:customStyle="1" w:styleId="biolockpenomoran">
    <w:name w:val="biolock_penomoran"/>
    <w:basedOn w:val="Normal"/>
    <w:qFormat/>
    <w:rsid w:val="0001574D"/>
    <w:pPr>
      <w:spacing w:after="40" w:line="240" w:lineRule="auto"/>
      <w:ind w:left="454" w:hanging="454"/>
      <w:jc w:val="both"/>
    </w:pPr>
    <w:rPr>
      <w:rFonts w:ascii="Candara" w:hAnsi="Candara"/>
    </w:rPr>
  </w:style>
  <w:style w:type="paragraph" w:customStyle="1" w:styleId="biolockreference">
    <w:name w:val="biolock_reference"/>
    <w:basedOn w:val="Normal"/>
    <w:qFormat/>
    <w:rsid w:val="00F40002"/>
    <w:pPr>
      <w:spacing w:after="60" w:line="240" w:lineRule="auto"/>
      <w:ind w:left="567" w:hanging="567"/>
      <w:jc w:val="both"/>
    </w:pPr>
    <w:rPr>
      <w:rFonts w:ascii="Candara" w:hAnsi="Candara"/>
    </w:rPr>
  </w:style>
  <w:style w:type="paragraph" w:styleId="Header">
    <w:name w:val="header"/>
    <w:basedOn w:val="Normal"/>
    <w:link w:val="HeaderChar"/>
    <w:uiPriority w:val="99"/>
    <w:unhideWhenUsed/>
    <w:rsid w:val="00484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4A2"/>
  </w:style>
  <w:style w:type="paragraph" w:styleId="Footer">
    <w:name w:val="footer"/>
    <w:basedOn w:val="Normal"/>
    <w:link w:val="FooterChar"/>
    <w:uiPriority w:val="99"/>
    <w:unhideWhenUsed/>
    <w:rsid w:val="00484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4A2"/>
  </w:style>
  <w:style w:type="paragraph" w:customStyle="1" w:styleId="biolockkeyword">
    <w:name w:val="biolock_keyword"/>
    <w:basedOn w:val="Normal"/>
    <w:qFormat/>
    <w:rsid w:val="001C0EB7"/>
    <w:pPr>
      <w:spacing w:after="0" w:line="240" w:lineRule="auto"/>
    </w:pPr>
    <w:rPr>
      <w:rFonts w:ascii="Candara" w:hAnsi="Candara"/>
      <w:sz w:val="20"/>
    </w:rPr>
  </w:style>
  <w:style w:type="paragraph" w:customStyle="1" w:styleId="biolockhistory">
    <w:name w:val="biolock_history"/>
    <w:basedOn w:val="Normal"/>
    <w:qFormat/>
    <w:rsid w:val="001C0EB7"/>
    <w:pPr>
      <w:spacing w:after="0" w:line="240" w:lineRule="auto"/>
    </w:pPr>
    <w:rPr>
      <w:rFonts w:ascii="Candara" w:hAnsi="Candara"/>
      <w:sz w:val="20"/>
    </w:rPr>
  </w:style>
  <w:style w:type="paragraph" w:customStyle="1" w:styleId="biolockcite">
    <w:name w:val="biolock_cite"/>
    <w:basedOn w:val="Normal"/>
    <w:qFormat/>
    <w:rsid w:val="001C0EB7"/>
    <w:pPr>
      <w:spacing w:after="0" w:line="240" w:lineRule="auto"/>
      <w:jc w:val="both"/>
    </w:pPr>
    <w:rPr>
      <w:rFonts w:ascii="Candara" w:hAnsi="Candara"/>
      <w:sz w:val="20"/>
    </w:rPr>
  </w:style>
  <w:style w:type="paragraph" w:customStyle="1" w:styleId="biolockcaption-table">
    <w:name w:val="biolock_caption-table"/>
    <w:basedOn w:val="Normal"/>
    <w:qFormat/>
    <w:rsid w:val="006E75D7"/>
    <w:pPr>
      <w:spacing w:before="300" w:after="0" w:line="240" w:lineRule="auto"/>
      <w:jc w:val="center"/>
    </w:pPr>
    <w:rPr>
      <w:rFonts w:ascii="Candara" w:hAnsi="Candara"/>
      <w:b/>
      <w:sz w:val="20"/>
    </w:rPr>
  </w:style>
  <w:style w:type="paragraph" w:styleId="NormalWeb">
    <w:name w:val="Normal (Web)"/>
    <w:basedOn w:val="Normal"/>
    <w:uiPriority w:val="99"/>
    <w:semiHidden/>
    <w:unhideWhenUsed/>
    <w:rsid w:val="006E75D7"/>
    <w:pPr>
      <w:spacing w:before="100" w:beforeAutospacing="1" w:after="142" w:line="276" w:lineRule="auto"/>
    </w:pPr>
    <w:rPr>
      <w:rFonts w:ascii="Times New Roman" w:eastAsia="Times New Roman" w:hAnsi="Times New Roman" w:cs="Times New Roman"/>
      <w:sz w:val="24"/>
      <w:szCs w:val="24"/>
      <w:lang w:val="id-ID" w:eastAsia="id-ID"/>
    </w:rPr>
  </w:style>
  <w:style w:type="paragraph" w:customStyle="1" w:styleId="biolockcaption-gambar">
    <w:name w:val="biolock_caption-gambar"/>
    <w:basedOn w:val="Normal"/>
    <w:qFormat/>
    <w:rsid w:val="006E75D7"/>
    <w:pPr>
      <w:spacing w:after="300" w:line="240" w:lineRule="auto"/>
      <w:jc w:val="center"/>
    </w:pPr>
    <w:rPr>
      <w:rFonts w:ascii="Candara" w:hAnsi="Candara"/>
      <w:b/>
      <w:sz w:val="20"/>
    </w:rPr>
  </w:style>
  <w:style w:type="paragraph" w:customStyle="1" w:styleId="biolock-doi">
    <w:name w:val="biolock-doi"/>
    <w:basedOn w:val="Normal"/>
    <w:qFormat/>
    <w:rsid w:val="00A53AD6"/>
    <w:pPr>
      <w:spacing w:after="0" w:line="240" w:lineRule="auto"/>
      <w:jc w:val="right"/>
    </w:pPr>
    <w:rPr>
      <w:rFonts w:ascii="Candara" w:hAnsi="Candara" w:cs="Arial"/>
      <w:sz w:val="16"/>
      <w:szCs w:val="16"/>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0056">
      <w:bodyDiv w:val="1"/>
      <w:marLeft w:val="0"/>
      <w:marRight w:val="0"/>
      <w:marTop w:val="0"/>
      <w:marBottom w:val="0"/>
      <w:divBdr>
        <w:top w:val="none" w:sz="0" w:space="0" w:color="auto"/>
        <w:left w:val="none" w:sz="0" w:space="0" w:color="auto"/>
        <w:bottom w:val="none" w:sz="0" w:space="0" w:color="auto"/>
        <w:right w:val="none" w:sz="0" w:space="0" w:color="auto"/>
      </w:divBdr>
    </w:div>
    <w:div w:id="302076883">
      <w:bodyDiv w:val="1"/>
      <w:marLeft w:val="0"/>
      <w:marRight w:val="0"/>
      <w:marTop w:val="0"/>
      <w:marBottom w:val="0"/>
      <w:divBdr>
        <w:top w:val="none" w:sz="0" w:space="0" w:color="auto"/>
        <w:left w:val="none" w:sz="0" w:space="0" w:color="auto"/>
        <w:bottom w:val="none" w:sz="0" w:space="0" w:color="auto"/>
        <w:right w:val="none" w:sz="0" w:space="0" w:color="auto"/>
      </w:divBdr>
    </w:div>
    <w:div w:id="599262630">
      <w:bodyDiv w:val="1"/>
      <w:marLeft w:val="0"/>
      <w:marRight w:val="0"/>
      <w:marTop w:val="0"/>
      <w:marBottom w:val="0"/>
      <w:divBdr>
        <w:top w:val="none" w:sz="0" w:space="0" w:color="auto"/>
        <w:left w:val="none" w:sz="0" w:space="0" w:color="auto"/>
        <w:bottom w:val="none" w:sz="0" w:space="0" w:color="auto"/>
        <w:right w:val="none" w:sz="0" w:space="0" w:color="auto"/>
      </w:divBdr>
    </w:div>
    <w:div w:id="641277712">
      <w:bodyDiv w:val="1"/>
      <w:marLeft w:val="0"/>
      <w:marRight w:val="0"/>
      <w:marTop w:val="0"/>
      <w:marBottom w:val="0"/>
      <w:divBdr>
        <w:top w:val="none" w:sz="0" w:space="0" w:color="auto"/>
        <w:left w:val="none" w:sz="0" w:space="0" w:color="auto"/>
        <w:bottom w:val="none" w:sz="0" w:space="0" w:color="auto"/>
        <w:right w:val="none" w:sz="0" w:space="0" w:color="auto"/>
      </w:divBdr>
    </w:div>
    <w:div w:id="1100218502">
      <w:bodyDiv w:val="1"/>
      <w:marLeft w:val="0"/>
      <w:marRight w:val="0"/>
      <w:marTop w:val="0"/>
      <w:marBottom w:val="0"/>
      <w:divBdr>
        <w:top w:val="none" w:sz="0" w:space="0" w:color="auto"/>
        <w:left w:val="none" w:sz="0" w:space="0" w:color="auto"/>
        <w:bottom w:val="none" w:sz="0" w:space="0" w:color="auto"/>
        <w:right w:val="none" w:sz="0" w:space="0" w:color="auto"/>
      </w:divBdr>
    </w:div>
    <w:div w:id="1335257029">
      <w:bodyDiv w:val="1"/>
      <w:marLeft w:val="0"/>
      <w:marRight w:val="0"/>
      <w:marTop w:val="0"/>
      <w:marBottom w:val="0"/>
      <w:divBdr>
        <w:top w:val="none" w:sz="0" w:space="0" w:color="auto"/>
        <w:left w:val="none" w:sz="0" w:space="0" w:color="auto"/>
        <w:bottom w:val="none" w:sz="0" w:space="0" w:color="auto"/>
        <w:right w:val="none" w:sz="0" w:space="0" w:color="auto"/>
      </w:divBdr>
    </w:div>
    <w:div w:id="1693385218">
      <w:bodyDiv w:val="1"/>
      <w:marLeft w:val="0"/>
      <w:marRight w:val="0"/>
      <w:marTop w:val="0"/>
      <w:marBottom w:val="0"/>
      <w:divBdr>
        <w:top w:val="none" w:sz="0" w:space="0" w:color="auto"/>
        <w:left w:val="none" w:sz="0" w:space="0" w:color="auto"/>
        <w:bottom w:val="none" w:sz="0" w:space="0" w:color="auto"/>
        <w:right w:val="none" w:sz="0" w:space="0" w:color="auto"/>
      </w:divBdr>
    </w:div>
    <w:div w:id="188136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ejournal.auliantech.org/index.php/biolock"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rukiah.lubis13@gmail.com"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doi.org/10.68191/biolock.v1i1.25"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3076</Words>
  <Characters>17539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Baabu Al-Ilmi</dc:creator>
  <cp:keywords/>
  <dc:description/>
  <cp:lastModifiedBy>auliantech</cp:lastModifiedBy>
  <cp:revision>3</cp:revision>
  <dcterms:created xsi:type="dcterms:W3CDTF">2026-03-04T03:45:00Z</dcterms:created>
  <dcterms:modified xsi:type="dcterms:W3CDTF">2026-10-24T16:52:00Z</dcterms:modified>
</cp:coreProperties>
</file>